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629A" w14:textId="77777777" w:rsidR="000A13CD" w:rsidRDefault="02195735" w:rsidP="000A4E31">
      <w:pPr>
        <w:pStyle w:val="Title"/>
      </w:pPr>
      <w:r>
        <w:t>Amendments to the UF Online Business Plan</w:t>
      </w:r>
    </w:p>
    <w:p w14:paraId="073F8038" w14:textId="77777777" w:rsidR="000A4E31" w:rsidRDefault="02195735" w:rsidP="000A4E31">
      <w:pPr>
        <w:pStyle w:val="Heading1"/>
      </w:pPr>
      <w:r>
        <w:t>Introduction</w:t>
      </w:r>
    </w:p>
    <w:p w14:paraId="1EC8C4FB" w14:textId="3A1D6AE2" w:rsidR="09AC355E" w:rsidRDefault="29BEA7ED">
      <w:r>
        <w:t>The University of Florida continues to grow its delivery of premier online programs since the adoption of the comprehensive business plan in fall 2013. The proposed amendments to the comprehensive business plan outlined below address key sections of the business plan that warrant revision at this time. Specifically, these three amendments focus on prior vendor relationships, the scope of online pathways and programs, and the inclusion updated, evidence-based enrollment projections. These updates are guided by experience, innovations, and reflect trends in student behaviors and preferences in the online learning environment at the undergraduate level. These amendments are appropriate to ensure the business plan remains a living and relevant document into the future.  We propose the following amendments:</w:t>
      </w:r>
    </w:p>
    <w:p w14:paraId="2824C7BC" w14:textId="77777777" w:rsidR="00E15783" w:rsidRDefault="02195735" w:rsidP="00E15783">
      <w:pPr>
        <w:pStyle w:val="Heading1"/>
      </w:pPr>
      <w:r>
        <w:t>Amendment 1: Public-Private Partnership</w:t>
      </w:r>
    </w:p>
    <w:p w14:paraId="260F460C" w14:textId="77777777" w:rsidR="00E24627" w:rsidRDefault="02195735" w:rsidP="00E15783">
      <w:r>
        <w:t xml:space="preserve">The University proposes the following text to serve as an amendment to the comprehensive business plan.  Proposed text follows: </w:t>
      </w:r>
    </w:p>
    <w:p w14:paraId="32FF1087" w14:textId="77777777" w:rsidR="00E24627" w:rsidRDefault="29BEA7ED" w:rsidP="00E24627">
      <w:pPr>
        <w:pStyle w:val="Heading2"/>
      </w:pPr>
      <w:r>
        <w:t>Public-Private Partnership Termination in December 2015</w:t>
      </w:r>
    </w:p>
    <w:p w14:paraId="7E29E088" w14:textId="4553CCDC" w:rsidR="00E15783" w:rsidRDefault="02195735" w:rsidP="00E15783">
      <w:r>
        <w:t xml:space="preserve">When UF Online was originally conceived, the University of Florida recognized that partnering with a private online enabler would provide the resources and expertise needed to launch UF Online on the aggressive timeline stipulated by legislation. As a result, UF entered into a contract with Pearson. Pearson was to provide marketing and recruitment services as well as coaching support for enrolled students and course resources. By the second year of the partnership, the University determined that the partnership was no longer necessary to continue the important mission of UF Online. A number of the key performance indicators stipulated in the contract were not being met which triggered negotiations to terminate the </w:t>
      </w:r>
      <w:proofErr w:type="gramStart"/>
      <w:r>
        <w:t>contract</w:t>
      </w:r>
      <w:proofErr w:type="gramEnd"/>
      <w:r>
        <w:t>. By December 2015, the contract between UF Online and Pearson was terminated.</w:t>
      </w:r>
    </w:p>
    <w:p w14:paraId="2797CB47" w14:textId="77777777" w:rsidR="005B5356" w:rsidRDefault="29BEA7ED" w:rsidP="005B5356">
      <w:pPr>
        <w:pStyle w:val="Heading2"/>
      </w:pPr>
      <w:r>
        <w:t>Post-Termination</w:t>
      </w:r>
    </w:p>
    <w:p w14:paraId="68AB6DD5" w14:textId="248453E8" w:rsidR="005B5356" w:rsidRDefault="02195735" w:rsidP="00E15783">
      <w:r>
        <w:t xml:space="preserve">Coinciding with the contract termination, the University began work to ramp up a significant set of in-house functions fully staffed by University personnel. This transition focused on a build of strategic in house functions in areas most critical to UF Online’s continued success.  This transition period presented a great opportunity for the University to assess what functions and services are most relevant and in turn, the University has been focused on the tenets of the business plan to guide the build of only the most necessary in-house needs.  For example, given that Pearson’s services related to course resources for faculty were not heavily utilized, UF did not replicate those in-house.  Instead, given that UF Online did rely heavily on Pearson’s marketing and recruitment services, UF has focused significant strategy on the creation of a new in-house marketing team and recruitment center.  </w:t>
      </w:r>
    </w:p>
    <w:p w14:paraId="400986C5" w14:textId="77BADF5A" w:rsidR="005B5356" w:rsidRDefault="02195735" w:rsidP="00E15783">
      <w:r>
        <w:t xml:space="preserve">Beyond the value of ensuring, continuous key services following termination, the University has found that building these in-house functions also brings additional benefits including efficiencies and synergies across the entire UF Online program.  To best realize these efficiencies and synergies UF now relies upon a new, in-house digital infrastructure that provides real-time </w:t>
      </w:r>
      <w:r>
        <w:lastRenderedPageBreak/>
        <w:t xml:space="preserve">communication flow across business lines including UF Online’s marketing, recruitment, enrollment and student service functions. Ultimately the University benefits from both the significant savings from the vendor termination but also the great improvements in operational efficiencies and overall effectiveness.  With all key functions and experts now residing in-house, each benefits from seamless communication, joint priority setting, and direct feedback loops on the most valuable approaches. </w:t>
      </w:r>
    </w:p>
    <w:p w14:paraId="055E1EAA" w14:textId="34679E0E" w:rsidR="005B5356" w:rsidRDefault="02195735" w:rsidP="00E15783">
      <w:r>
        <w:t xml:space="preserve">Thru the termination the University also recaptures additional tuition revenue and we are able to divert those directly to our greatest investment needs instead of enabling the vendor to allocate the University’s limited tuition dollars out to vendor services that the University did not find advantageous to utilize. The University will continue to implement the business plan and continue to identify and execute the best management strategies to continually deliver the best online academic programs and services for our online students. </w:t>
      </w:r>
    </w:p>
    <w:p w14:paraId="386E4DCE" w14:textId="7226A67A" w:rsidR="00DB6FB7" w:rsidRDefault="29BEA7ED" w:rsidP="00DB6FB7">
      <w:pPr>
        <w:pStyle w:val="Heading1"/>
      </w:pPr>
      <w:r>
        <w:t>Amendment 2: UF Online Pathways and Programs</w:t>
      </w:r>
    </w:p>
    <w:p w14:paraId="7AABA9A8" w14:textId="05108CB3" w:rsidR="00DB6FB7" w:rsidRDefault="02195735" w:rsidP="00DB6FB7">
      <w:r>
        <w:t xml:space="preserve">The University has experienced significant change in the offering of pathways and programs for online students that were not originally referred to in the comprehensive business plan.  We remain committed to including programs in UF Online focused on workforce needs and student demand and therefore wish to amend the comprehensive business plan to reflect our significant growth and proliferation of diverse online offerings in this area. The original business plan called for 30 programs by 2018-19 and 35 by 2019-20. </w:t>
      </w:r>
      <w:r w:rsidR="00675D1A" w:rsidRPr="00675D1A">
        <w:t>We wish to amend the business plan to reflect</w:t>
      </w:r>
      <w:r w:rsidR="00675D1A">
        <w:t xml:space="preserve"> the launch and growth of the Pa</w:t>
      </w:r>
      <w:r w:rsidR="00675D1A" w:rsidRPr="00675D1A">
        <w:t xml:space="preserve">CE program. The program can provide a pathway to many in-residence majors after successful completion of the required 60 hours. In addition to this “hybrid” possibility, the University has also increased the UF Online major programs and its offerings of online minors and certificates. </w:t>
      </w:r>
      <w:r>
        <w:t>We project that UF Online major programs offered in 2018-19 will meet or exceed the original benchmarks with continued growth to meet or exceed the 2019-2020 benchmark of 35 as well.  We wish to amend the business plan to capture how far we've come and in particular the diverse set of choices afforded students in the UF Online program and our projected growth in offerings in subsequent academic years. The University proposes the</w:t>
      </w:r>
      <w:r w:rsidR="00FF4A27">
        <w:t xml:space="preserve"> following</w:t>
      </w:r>
      <w:r>
        <w:t xml:space="preserve"> amendmen</w:t>
      </w:r>
      <w:r w:rsidR="00675D1A">
        <w:t>t to the comprehensive business plan:</w:t>
      </w:r>
    </w:p>
    <w:p w14:paraId="7BF37A84" w14:textId="4910B68E" w:rsidR="0B736FAA" w:rsidRDefault="02195735" w:rsidP="0B736FAA">
      <w:pPr>
        <w:pStyle w:val="Heading2"/>
      </w:pPr>
      <w:r w:rsidRPr="00A41F92">
        <w:t>Pathway to Campus Enrollment Majors</w:t>
      </w:r>
    </w:p>
    <w:p w14:paraId="68990937" w14:textId="30790AE4" w:rsidR="000A13CD" w:rsidRDefault="02195735" w:rsidP="00AE0F0C">
      <w:pPr>
        <w:sectPr w:rsidR="000A13CD" w:rsidSect="00F03013">
          <w:footerReference w:type="default" r:id="rId8"/>
          <w:type w:val="continuous"/>
          <w:pgSz w:w="12240" w:h="15840" w:code="1"/>
          <w:pgMar w:top="720" w:right="720" w:bottom="1440" w:left="720" w:header="720" w:footer="720" w:gutter="0"/>
          <w:cols w:space="720"/>
          <w:docGrid w:linePitch="360"/>
        </w:sectPr>
      </w:pPr>
      <w:r>
        <w:t xml:space="preserve">Starting in fall 2015, the University of Florida launched the Pathway to Campus Enrollment (PaCE) program to welcome first time in college students into a new, hybrid program. These </w:t>
      </w:r>
      <w:r w:rsidR="00675D1A">
        <w:t>UF Online</w:t>
      </w:r>
      <w:r>
        <w:t xml:space="preserve"> students complete the first part of their degree online and</w:t>
      </w:r>
      <w:r w:rsidR="00675D1A">
        <w:t xml:space="preserve"> may</w:t>
      </w:r>
      <w:r>
        <w:t xml:space="preserve"> later transition to campus</w:t>
      </w:r>
      <w:r w:rsidR="00675D1A">
        <w:t xml:space="preserve"> in 53 different majors</w:t>
      </w:r>
      <w:r>
        <w:t xml:space="preserve"> at the upper division </w:t>
      </w:r>
      <w:r w:rsidR="00675D1A">
        <w:t xml:space="preserve">level </w:t>
      </w:r>
      <w:r>
        <w:t>without having to reapply.</w:t>
      </w:r>
      <w:r w:rsidR="00675D1A">
        <w:t xml:space="preserve"> UF Online has seen strong growth in FTIC students with the introductions of this pathway. The list of the 53 resident majors accessible through the PACE program is maintained at:</w:t>
      </w:r>
      <w:r>
        <w:t xml:space="preserve"> </w:t>
      </w:r>
      <w:hyperlink r:id="rId9">
        <w:r w:rsidRPr="02195735">
          <w:rPr>
            <w:rStyle w:val="Hyperlink"/>
          </w:rPr>
          <w:t>http://www.admissions.ufl.edu/learn/pace/majors</w:t>
        </w:r>
      </w:hyperlink>
      <w:r>
        <w:t xml:space="preserve">. </w:t>
      </w:r>
    </w:p>
    <w:p w14:paraId="4274847B" w14:textId="31D468A9" w:rsidR="00E15783" w:rsidRDefault="29BEA7ED" w:rsidP="00AE0F0C">
      <w:pPr>
        <w:pStyle w:val="Heading2"/>
      </w:pPr>
      <w:r w:rsidRPr="00A41F92">
        <w:t>UF Online Academic Programs</w:t>
      </w:r>
      <w:r w:rsidRPr="29BEA7ED">
        <w:t xml:space="preserve">  </w:t>
      </w:r>
    </w:p>
    <w:p w14:paraId="0B0B3628" w14:textId="7C637954" w:rsidR="005F62CF" w:rsidRPr="00314FB9" w:rsidRDefault="29BEA7ED" w:rsidP="00314FB9">
      <w:r>
        <w:t>The table below reflects the academic programs (majors, minors, and certificates) currently active in UF Online for our students as well as the programs targeted for inclusion future academic years.</w:t>
      </w:r>
    </w:p>
    <w:tbl>
      <w:tblPr>
        <w:tblStyle w:val="TableGridLight"/>
        <w:tblW w:w="5000" w:type="pct"/>
        <w:tblCellMar>
          <w:top w:w="29" w:type="dxa"/>
          <w:left w:w="58" w:type="dxa"/>
          <w:bottom w:w="29" w:type="dxa"/>
          <w:right w:w="58" w:type="dxa"/>
        </w:tblCellMar>
        <w:tblLook w:val="04A0" w:firstRow="1" w:lastRow="0" w:firstColumn="1" w:lastColumn="0" w:noHBand="0" w:noVBand="1"/>
      </w:tblPr>
      <w:tblGrid>
        <w:gridCol w:w="5574"/>
        <w:gridCol w:w="2609"/>
        <w:gridCol w:w="2607"/>
      </w:tblGrid>
      <w:tr w:rsidR="00AE0F0C" w:rsidRPr="001E4861" w14:paraId="33F3F730" w14:textId="77777777" w:rsidTr="00AE0F0C">
        <w:trPr>
          <w:trHeight w:val="20"/>
          <w:tblHeader/>
        </w:trPr>
        <w:tc>
          <w:tcPr>
            <w:tcW w:w="5000" w:type="pct"/>
            <w:gridSpan w:val="3"/>
            <w:shd w:val="clear" w:color="auto" w:fill="D9D9D9" w:themeFill="background1" w:themeFillShade="D9"/>
          </w:tcPr>
          <w:p w14:paraId="408E738E" w14:textId="2871434E" w:rsidR="00AE0F0C" w:rsidRPr="02195735" w:rsidRDefault="00AE0F0C" w:rsidP="00AE0F0C">
            <w:pPr>
              <w:jc w:val="center"/>
              <w:rPr>
                <w:rFonts w:asciiTheme="majorHAnsi" w:eastAsiaTheme="majorEastAsia" w:hAnsiTheme="majorHAnsi" w:cstheme="majorBidi"/>
                <w:b/>
                <w:bCs/>
                <w:color w:val="262626" w:themeColor="text1" w:themeTint="D9"/>
              </w:rPr>
            </w:pPr>
            <w:r w:rsidRPr="00AE0F0C">
              <w:rPr>
                <w:rFonts w:asciiTheme="majorHAnsi" w:eastAsiaTheme="majorEastAsia" w:hAnsiTheme="majorHAnsi" w:cstheme="majorBidi"/>
                <w:b/>
                <w:bCs/>
                <w:color w:val="262626" w:themeColor="text1" w:themeTint="D9"/>
                <w:sz w:val="24"/>
              </w:rPr>
              <w:lastRenderedPageBreak/>
              <w:t>UF Online Academic Programs</w:t>
            </w:r>
          </w:p>
        </w:tc>
      </w:tr>
      <w:tr w:rsidR="00385B91" w:rsidRPr="001E4861" w14:paraId="5A331FCE" w14:textId="77777777" w:rsidTr="00A41F92">
        <w:trPr>
          <w:trHeight w:val="20"/>
          <w:tblHeader/>
        </w:trPr>
        <w:tc>
          <w:tcPr>
            <w:tcW w:w="2583" w:type="pct"/>
            <w:shd w:val="clear" w:color="auto" w:fill="D9D9D9" w:themeFill="background1" w:themeFillShade="D9"/>
          </w:tcPr>
          <w:p w14:paraId="48295D58" w14:textId="77777777" w:rsidR="004A1922" w:rsidRPr="001E4861" w:rsidRDefault="02195735" w:rsidP="000A13CD">
            <w:pPr>
              <w:rPr>
                <w:rFonts w:asciiTheme="majorHAnsi" w:eastAsiaTheme="majorEastAsia" w:hAnsiTheme="majorHAnsi" w:cstheme="majorBidi"/>
                <w:b/>
                <w:color w:val="262626" w:themeColor="text1" w:themeTint="D9"/>
              </w:rPr>
            </w:pPr>
            <w:r w:rsidRPr="02195735">
              <w:rPr>
                <w:rFonts w:asciiTheme="majorHAnsi" w:eastAsiaTheme="majorEastAsia" w:hAnsiTheme="majorHAnsi" w:cstheme="majorBidi"/>
                <w:b/>
                <w:bCs/>
                <w:color w:val="262626" w:themeColor="text1" w:themeTint="D9"/>
              </w:rPr>
              <w:t>Majors and Tracks</w:t>
            </w:r>
          </w:p>
        </w:tc>
        <w:tc>
          <w:tcPr>
            <w:tcW w:w="1209" w:type="pct"/>
            <w:shd w:val="clear" w:color="auto" w:fill="D9D9D9" w:themeFill="background1" w:themeFillShade="D9"/>
          </w:tcPr>
          <w:p w14:paraId="75EED760" w14:textId="77777777" w:rsidR="004A1922" w:rsidRPr="001E4861" w:rsidRDefault="02195735" w:rsidP="000A13CD">
            <w:pPr>
              <w:rPr>
                <w:rFonts w:asciiTheme="majorHAnsi" w:eastAsiaTheme="majorEastAsia" w:hAnsiTheme="majorHAnsi" w:cstheme="majorBidi"/>
                <w:b/>
                <w:color w:val="262626" w:themeColor="text1" w:themeTint="D9"/>
              </w:rPr>
            </w:pPr>
            <w:r w:rsidRPr="02195735">
              <w:rPr>
                <w:rFonts w:asciiTheme="majorHAnsi" w:eastAsiaTheme="majorEastAsia" w:hAnsiTheme="majorHAnsi" w:cstheme="majorBidi"/>
                <w:b/>
                <w:bCs/>
                <w:color w:val="262626" w:themeColor="text1" w:themeTint="D9"/>
              </w:rPr>
              <w:t>Minors</w:t>
            </w:r>
          </w:p>
        </w:tc>
        <w:tc>
          <w:tcPr>
            <w:tcW w:w="1207" w:type="pct"/>
            <w:shd w:val="clear" w:color="auto" w:fill="D9D9D9" w:themeFill="background1" w:themeFillShade="D9"/>
          </w:tcPr>
          <w:p w14:paraId="66C978FB" w14:textId="77777777" w:rsidR="004A1922" w:rsidRPr="001E4861" w:rsidRDefault="02195735" w:rsidP="000A13CD">
            <w:pPr>
              <w:rPr>
                <w:rFonts w:asciiTheme="majorHAnsi" w:eastAsiaTheme="majorEastAsia" w:hAnsiTheme="majorHAnsi" w:cstheme="majorBidi"/>
                <w:b/>
                <w:color w:val="262626" w:themeColor="text1" w:themeTint="D9"/>
              </w:rPr>
            </w:pPr>
            <w:r w:rsidRPr="02195735">
              <w:rPr>
                <w:rFonts w:asciiTheme="majorHAnsi" w:eastAsiaTheme="majorEastAsia" w:hAnsiTheme="majorHAnsi" w:cstheme="majorBidi"/>
                <w:b/>
                <w:bCs/>
                <w:color w:val="262626" w:themeColor="text1" w:themeTint="D9"/>
              </w:rPr>
              <w:t>Certificates</w:t>
            </w:r>
          </w:p>
        </w:tc>
      </w:tr>
      <w:tr w:rsidR="00385B91" w:rsidRPr="001E4861" w14:paraId="0F8E4F20" w14:textId="77777777" w:rsidTr="00A41F92">
        <w:trPr>
          <w:trHeight w:val="20"/>
          <w:tblHeader/>
        </w:trPr>
        <w:tc>
          <w:tcPr>
            <w:tcW w:w="2583" w:type="pct"/>
            <w:shd w:val="clear" w:color="auto" w:fill="F2F2F2" w:themeFill="background1" w:themeFillShade="F2"/>
          </w:tcPr>
          <w:p w14:paraId="76580DE1" w14:textId="1AD679E4" w:rsidR="004A1922" w:rsidRPr="001E4861" w:rsidRDefault="00561454" w:rsidP="00561454">
            <w:pPr>
              <w:rPr>
                <w:b/>
              </w:rPr>
            </w:pPr>
            <w:r>
              <w:rPr>
                <w:rFonts w:asciiTheme="majorHAnsi" w:eastAsiaTheme="majorEastAsia" w:hAnsiTheme="majorHAnsi" w:cstheme="majorBidi"/>
                <w:b/>
                <w:bCs/>
                <w:color w:val="262626" w:themeColor="text1" w:themeTint="D9"/>
              </w:rPr>
              <w:t xml:space="preserve">Up to 2015-2016 </w:t>
            </w:r>
          </w:p>
        </w:tc>
        <w:tc>
          <w:tcPr>
            <w:tcW w:w="1209" w:type="pct"/>
            <w:shd w:val="clear" w:color="auto" w:fill="F2F2F2" w:themeFill="background1" w:themeFillShade="F2"/>
          </w:tcPr>
          <w:p w14:paraId="2B196E18" w14:textId="77777777" w:rsidR="004A1922" w:rsidRPr="001E4861" w:rsidRDefault="004A1922" w:rsidP="000A13CD"/>
        </w:tc>
        <w:tc>
          <w:tcPr>
            <w:tcW w:w="1207" w:type="pct"/>
            <w:shd w:val="clear" w:color="auto" w:fill="F2F2F2" w:themeFill="background1" w:themeFillShade="F2"/>
          </w:tcPr>
          <w:p w14:paraId="09A16437" w14:textId="77777777" w:rsidR="004A1922" w:rsidRPr="001E4861" w:rsidRDefault="004A1922" w:rsidP="000A13CD"/>
        </w:tc>
      </w:tr>
      <w:tr w:rsidR="00385B91" w:rsidRPr="001E4861" w14:paraId="15B0C2D4" w14:textId="77777777" w:rsidTr="00A41F92">
        <w:trPr>
          <w:trHeight w:val="20"/>
          <w:tblHeader/>
        </w:trPr>
        <w:tc>
          <w:tcPr>
            <w:tcW w:w="2583" w:type="pct"/>
          </w:tcPr>
          <w:p w14:paraId="617E3A7E" w14:textId="77777777" w:rsidR="004A1922" w:rsidRPr="001E4861" w:rsidRDefault="02195735" w:rsidP="004A1922">
            <w:pPr>
              <w:pStyle w:val="ListParagraph"/>
              <w:numPr>
                <w:ilvl w:val="0"/>
                <w:numId w:val="29"/>
              </w:numPr>
              <w:rPr>
                <w:sz w:val="21"/>
                <w:szCs w:val="21"/>
              </w:rPr>
            </w:pPr>
            <w:r w:rsidRPr="02195735">
              <w:rPr>
                <w:sz w:val="21"/>
                <w:szCs w:val="21"/>
              </w:rPr>
              <w:t>B.A., Anthropology</w:t>
            </w:r>
          </w:p>
          <w:p w14:paraId="4296D2A2" w14:textId="77777777" w:rsidR="004A1922" w:rsidRPr="001E4861" w:rsidRDefault="02195735" w:rsidP="004A1922">
            <w:pPr>
              <w:pStyle w:val="ListParagraph"/>
              <w:numPr>
                <w:ilvl w:val="0"/>
                <w:numId w:val="29"/>
              </w:numPr>
              <w:rPr>
                <w:sz w:val="21"/>
                <w:szCs w:val="21"/>
              </w:rPr>
            </w:pPr>
            <w:r w:rsidRPr="02195735">
              <w:rPr>
                <w:sz w:val="21"/>
                <w:szCs w:val="21"/>
              </w:rPr>
              <w:t>B.A., Biology</w:t>
            </w:r>
          </w:p>
          <w:p w14:paraId="2F1B690B" w14:textId="77777777" w:rsidR="004A1922" w:rsidRPr="001E4861" w:rsidRDefault="02195735" w:rsidP="004A1922">
            <w:pPr>
              <w:pStyle w:val="ListParagraph"/>
              <w:numPr>
                <w:ilvl w:val="0"/>
                <w:numId w:val="29"/>
              </w:numPr>
              <w:rPr>
                <w:sz w:val="21"/>
                <w:szCs w:val="21"/>
              </w:rPr>
            </w:pPr>
            <w:r w:rsidRPr="02195735">
              <w:rPr>
                <w:sz w:val="21"/>
                <w:szCs w:val="21"/>
              </w:rPr>
              <w:t>B.S., Business Administration</w:t>
            </w:r>
          </w:p>
          <w:p w14:paraId="49999CD1" w14:textId="77777777" w:rsidR="004A1922" w:rsidRPr="001E4861" w:rsidRDefault="02195735" w:rsidP="004A1922">
            <w:pPr>
              <w:pStyle w:val="ListParagraph"/>
              <w:numPr>
                <w:ilvl w:val="0"/>
                <w:numId w:val="29"/>
              </w:numPr>
              <w:rPr>
                <w:sz w:val="21"/>
                <w:szCs w:val="21"/>
              </w:rPr>
            </w:pPr>
            <w:r w:rsidRPr="02195735">
              <w:rPr>
                <w:sz w:val="21"/>
                <w:szCs w:val="21"/>
              </w:rPr>
              <w:t>B.S., Computer Science</w:t>
            </w:r>
          </w:p>
          <w:p w14:paraId="2521E541" w14:textId="77777777" w:rsidR="004A1922" w:rsidRPr="001E4861" w:rsidRDefault="02195735" w:rsidP="004A1922">
            <w:pPr>
              <w:pStyle w:val="ListParagraph"/>
              <w:numPr>
                <w:ilvl w:val="0"/>
                <w:numId w:val="29"/>
              </w:numPr>
              <w:rPr>
                <w:sz w:val="21"/>
                <w:szCs w:val="21"/>
              </w:rPr>
            </w:pPr>
            <w:r w:rsidRPr="02195735">
              <w:rPr>
                <w:sz w:val="21"/>
                <w:szCs w:val="21"/>
              </w:rPr>
              <w:t>B.A., Criminology &amp; Law</w:t>
            </w:r>
          </w:p>
          <w:p w14:paraId="2064B499" w14:textId="77777777" w:rsidR="004A1922" w:rsidRPr="001E4861" w:rsidRDefault="02195735" w:rsidP="004A1922">
            <w:pPr>
              <w:pStyle w:val="ListParagraph"/>
              <w:numPr>
                <w:ilvl w:val="0"/>
                <w:numId w:val="29"/>
              </w:numPr>
              <w:rPr>
                <w:sz w:val="21"/>
                <w:szCs w:val="21"/>
              </w:rPr>
            </w:pPr>
            <w:r w:rsidRPr="02195735">
              <w:rPr>
                <w:sz w:val="21"/>
                <w:szCs w:val="21"/>
              </w:rPr>
              <w:t>B.S., Environmental Management</w:t>
            </w:r>
          </w:p>
          <w:p w14:paraId="52711E15" w14:textId="77777777" w:rsidR="004A1922" w:rsidRPr="001E4861" w:rsidRDefault="02195735" w:rsidP="004A1922">
            <w:pPr>
              <w:pStyle w:val="ListParagraph"/>
              <w:numPr>
                <w:ilvl w:val="0"/>
                <w:numId w:val="29"/>
              </w:numPr>
              <w:rPr>
                <w:sz w:val="21"/>
                <w:szCs w:val="21"/>
              </w:rPr>
            </w:pPr>
            <w:r w:rsidRPr="02195735">
              <w:rPr>
                <w:sz w:val="21"/>
                <w:szCs w:val="21"/>
              </w:rPr>
              <w:t>B.A., Geography</w:t>
            </w:r>
          </w:p>
          <w:p w14:paraId="589BF6ED" w14:textId="77777777" w:rsidR="004A1922" w:rsidRPr="001E4861" w:rsidRDefault="02195735" w:rsidP="004A1922">
            <w:pPr>
              <w:pStyle w:val="ListParagraph"/>
              <w:numPr>
                <w:ilvl w:val="0"/>
                <w:numId w:val="29"/>
              </w:numPr>
              <w:rPr>
                <w:sz w:val="21"/>
                <w:szCs w:val="21"/>
              </w:rPr>
            </w:pPr>
            <w:r w:rsidRPr="02195735">
              <w:rPr>
                <w:sz w:val="21"/>
                <w:szCs w:val="21"/>
              </w:rPr>
              <w:t>B.A., Geology</w:t>
            </w:r>
          </w:p>
          <w:p w14:paraId="725CC021" w14:textId="77777777" w:rsidR="004A1922" w:rsidRDefault="02195735" w:rsidP="004A1922">
            <w:pPr>
              <w:pStyle w:val="ListParagraph"/>
              <w:numPr>
                <w:ilvl w:val="0"/>
                <w:numId w:val="29"/>
              </w:numPr>
              <w:rPr>
                <w:sz w:val="21"/>
                <w:szCs w:val="21"/>
              </w:rPr>
            </w:pPr>
            <w:r w:rsidRPr="02195735">
              <w:rPr>
                <w:sz w:val="21"/>
                <w:szCs w:val="21"/>
              </w:rPr>
              <w:t>B.S., Health Education &amp; Behavior</w:t>
            </w:r>
          </w:p>
          <w:p w14:paraId="6AD3DB5D" w14:textId="77777777" w:rsidR="00FE598C" w:rsidRPr="00561454" w:rsidRDefault="00FE598C" w:rsidP="00FE598C">
            <w:pPr>
              <w:pStyle w:val="ListParagraph"/>
              <w:numPr>
                <w:ilvl w:val="0"/>
                <w:numId w:val="29"/>
              </w:numPr>
              <w:rPr>
                <w:sz w:val="21"/>
                <w:szCs w:val="21"/>
              </w:rPr>
            </w:pPr>
            <w:r w:rsidRPr="02195735">
              <w:rPr>
                <w:sz w:val="21"/>
                <w:szCs w:val="21"/>
              </w:rPr>
              <w:t>B.S.N., Nursing</w:t>
            </w:r>
          </w:p>
          <w:p w14:paraId="5AA79A35" w14:textId="5C935F24" w:rsidR="00FE598C" w:rsidRPr="001E4861" w:rsidRDefault="00FE598C" w:rsidP="00FE598C">
            <w:pPr>
              <w:pStyle w:val="ListParagraph"/>
              <w:numPr>
                <w:ilvl w:val="0"/>
                <w:numId w:val="29"/>
              </w:numPr>
              <w:rPr>
                <w:sz w:val="21"/>
                <w:szCs w:val="21"/>
              </w:rPr>
            </w:pPr>
            <w:r w:rsidRPr="02195735">
              <w:rPr>
                <w:sz w:val="21"/>
                <w:szCs w:val="21"/>
              </w:rPr>
              <w:t>B.A., Public Relations</w:t>
            </w:r>
          </w:p>
          <w:p w14:paraId="1EDB7657" w14:textId="77777777" w:rsidR="004A1922" w:rsidRPr="001E4861" w:rsidRDefault="02195735" w:rsidP="004A1922">
            <w:pPr>
              <w:pStyle w:val="ListParagraph"/>
              <w:numPr>
                <w:ilvl w:val="0"/>
                <w:numId w:val="29"/>
              </w:numPr>
              <w:rPr>
                <w:sz w:val="21"/>
                <w:szCs w:val="21"/>
              </w:rPr>
            </w:pPr>
            <w:r w:rsidRPr="02195735">
              <w:rPr>
                <w:sz w:val="21"/>
                <w:szCs w:val="21"/>
              </w:rPr>
              <w:t>B.A., Psychology</w:t>
            </w:r>
          </w:p>
          <w:p w14:paraId="13661DF4" w14:textId="77777777" w:rsidR="004A1922" w:rsidRPr="001E4861" w:rsidRDefault="02195735" w:rsidP="004A1922">
            <w:pPr>
              <w:pStyle w:val="ListParagraph"/>
              <w:numPr>
                <w:ilvl w:val="0"/>
                <w:numId w:val="29"/>
              </w:numPr>
              <w:rPr>
                <w:sz w:val="21"/>
                <w:szCs w:val="21"/>
              </w:rPr>
            </w:pPr>
            <w:r w:rsidRPr="02195735">
              <w:rPr>
                <w:sz w:val="21"/>
                <w:szCs w:val="21"/>
              </w:rPr>
              <w:t>B.A., Sociology</w:t>
            </w:r>
          </w:p>
          <w:p w14:paraId="4F97DF40" w14:textId="77777777" w:rsidR="004A1922" w:rsidRPr="001E4861" w:rsidRDefault="02195735" w:rsidP="004A1922">
            <w:pPr>
              <w:pStyle w:val="ListParagraph"/>
              <w:numPr>
                <w:ilvl w:val="0"/>
                <w:numId w:val="29"/>
              </w:numPr>
              <w:rPr>
                <w:sz w:val="21"/>
                <w:szCs w:val="21"/>
              </w:rPr>
            </w:pPr>
            <w:r w:rsidRPr="02195735">
              <w:rPr>
                <w:sz w:val="21"/>
                <w:szCs w:val="21"/>
              </w:rPr>
              <w:t>B.S., Sport Management</w:t>
            </w:r>
          </w:p>
          <w:p w14:paraId="105C6A47" w14:textId="77777777" w:rsidR="004A1922" w:rsidRPr="001E4861" w:rsidRDefault="02195735" w:rsidP="004A1922">
            <w:pPr>
              <w:pStyle w:val="ListParagraph"/>
              <w:numPr>
                <w:ilvl w:val="0"/>
                <w:numId w:val="29"/>
              </w:numPr>
              <w:rPr>
                <w:sz w:val="21"/>
                <w:szCs w:val="21"/>
              </w:rPr>
            </w:pPr>
            <w:r w:rsidRPr="02195735">
              <w:rPr>
                <w:sz w:val="21"/>
                <w:szCs w:val="21"/>
              </w:rPr>
              <w:t>B.S., Telecommunication Media &amp; Society</w:t>
            </w:r>
          </w:p>
        </w:tc>
        <w:tc>
          <w:tcPr>
            <w:tcW w:w="1209" w:type="pct"/>
          </w:tcPr>
          <w:p w14:paraId="4465D8F8" w14:textId="77777777" w:rsidR="004A1922" w:rsidRPr="001E4861" w:rsidRDefault="02195735" w:rsidP="004A1922">
            <w:pPr>
              <w:pStyle w:val="ListParagraph"/>
              <w:numPr>
                <w:ilvl w:val="0"/>
                <w:numId w:val="30"/>
              </w:numPr>
              <w:rPr>
                <w:sz w:val="21"/>
                <w:szCs w:val="21"/>
              </w:rPr>
            </w:pPr>
            <w:r w:rsidRPr="02195735">
              <w:rPr>
                <w:sz w:val="21"/>
                <w:szCs w:val="21"/>
              </w:rPr>
              <w:t>Anthropology</w:t>
            </w:r>
          </w:p>
          <w:p w14:paraId="12417E42" w14:textId="77777777" w:rsidR="004A1922" w:rsidRPr="001E4861" w:rsidRDefault="02195735" w:rsidP="004A1922">
            <w:pPr>
              <w:pStyle w:val="ListParagraph"/>
              <w:numPr>
                <w:ilvl w:val="0"/>
                <w:numId w:val="30"/>
              </w:numPr>
              <w:rPr>
                <w:sz w:val="21"/>
                <w:szCs w:val="21"/>
              </w:rPr>
            </w:pPr>
            <w:r w:rsidRPr="02195735">
              <w:rPr>
                <w:sz w:val="21"/>
                <w:szCs w:val="21"/>
              </w:rPr>
              <w:t xml:space="preserve">Business </w:t>
            </w:r>
          </w:p>
          <w:p w14:paraId="75956D7C" w14:textId="77777777" w:rsidR="004A1922" w:rsidRPr="001E4861" w:rsidRDefault="02195735" w:rsidP="004A1922">
            <w:pPr>
              <w:pStyle w:val="ListParagraph"/>
              <w:numPr>
                <w:ilvl w:val="0"/>
                <w:numId w:val="30"/>
              </w:numPr>
              <w:rPr>
                <w:sz w:val="21"/>
                <w:szCs w:val="21"/>
              </w:rPr>
            </w:pPr>
            <w:r w:rsidRPr="02195735">
              <w:rPr>
                <w:sz w:val="21"/>
                <w:szCs w:val="21"/>
              </w:rPr>
              <w:t>Geography</w:t>
            </w:r>
          </w:p>
          <w:p w14:paraId="00962124" w14:textId="77777777" w:rsidR="004A1922" w:rsidRPr="001E4861" w:rsidRDefault="02195735" w:rsidP="004A1922">
            <w:pPr>
              <w:pStyle w:val="ListParagraph"/>
              <w:numPr>
                <w:ilvl w:val="0"/>
                <w:numId w:val="30"/>
              </w:numPr>
              <w:rPr>
                <w:sz w:val="21"/>
                <w:szCs w:val="21"/>
              </w:rPr>
            </w:pPr>
            <w:r w:rsidRPr="02195735">
              <w:rPr>
                <w:sz w:val="21"/>
                <w:szCs w:val="21"/>
              </w:rPr>
              <w:t>Mass Communication</w:t>
            </w:r>
          </w:p>
          <w:p w14:paraId="1A82158E" w14:textId="77777777" w:rsidR="004A1922" w:rsidRPr="001E4861" w:rsidRDefault="02195735" w:rsidP="004A1922">
            <w:pPr>
              <w:pStyle w:val="ListParagraph"/>
              <w:numPr>
                <w:ilvl w:val="0"/>
                <w:numId w:val="30"/>
              </w:numPr>
              <w:rPr>
                <w:sz w:val="21"/>
                <w:szCs w:val="21"/>
              </w:rPr>
            </w:pPr>
            <w:r w:rsidRPr="02195735">
              <w:rPr>
                <w:sz w:val="21"/>
                <w:szCs w:val="21"/>
              </w:rPr>
              <w:t>Sociology</w:t>
            </w:r>
          </w:p>
        </w:tc>
        <w:tc>
          <w:tcPr>
            <w:tcW w:w="1207" w:type="pct"/>
          </w:tcPr>
          <w:p w14:paraId="0B81BA43" w14:textId="77777777" w:rsidR="00B02FF3" w:rsidRPr="001E4861" w:rsidRDefault="02195735" w:rsidP="00B02FF3">
            <w:pPr>
              <w:pStyle w:val="ListParagraph"/>
              <w:numPr>
                <w:ilvl w:val="0"/>
                <w:numId w:val="32"/>
              </w:numPr>
              <w:rPr>
                <w:sz w:val="21"/>
                <w:szCs w:val="21"/>
              </w:rPr>
            </w:pPr>
            <w:r w:rsidRPr="02195735">
              <w:rPr>
                <w:sz w:val="21"/>
                <w:szCs w:val="21"/>
              </w:rPr>
              <w:t>Environmental Horticulture Management</w:t>
            </w:r>
          </w:p>
          <w:p w14:paraId="0AD35ADF" w14:textId="77777777" w:rsidR="00B02FF3" w:rsidRPr="001E4861" w:rsidRDefault="02195735" w:rsidP="00B02FF3">
            <w:pPr>
              <w:pStyle w:val="ListParagraph"/>
              <w:numPr>
                <w:ilvl w:val="0"/>
                <w:numId w:val="32"/>
              </w:numPr>
              <w:rPr>
                <w:sz w:val="21"/>
                <w:szCs w:val="21"/>
              </w:rPr>
            </w:pPr>
            <w:r w:rsidRPr="02195735">
              <w:rPr>
                <w:sz w:val="21"/>
                <w:szCs w:val="21"/>
              </w:rPr>
              <w:t>Geomatics</w:t>
            </w:r>
          </w:p>
          <w:p w14:paraId="6951D385" w14:textId="77777777" w:rsidR="00B02FF3" w:rsidRPr="001E4861" w:rsidRDefault="02195735" w:rsidP="00B02FF3">
            <w:pPr>
              <w:pStyle w:val="ListParagraph"/>
              <w:numPr>
                <w:ilvl w:val="0"/>
                <w:numId w:val="32"/>
              </w:numPr>
              <w:rPr>
                <w:sz w:val="21"/>
                <w:szCs w:val="21"/>
              </w:rPr>
            </w:pPr>
            <w:r w:rsidRPr="02195735">
              <w:rPr>
                <w:sz w:val="21"/>
                <w:szCs w:val="21"/>
              </w:rPr>
              <w:t>Landscape Pest Management</w:t>
            </w:r>
          </w:p>
          <w:p w14:paraId="032C87D9" w14:textId="77777777" w:rsidR="00B02FF3" w:rsidRPr="001E4861" w:rsidRDefault="02195735" w:rsidP="00B02FF3">
            <w:pPr>
              <w:pStyle w:val="ListParagraph"/>
              <w:numPr>
                <w:ilvl w:val="0"/>
                <w:numId w:val="32"/>
              </w:numPr>
              <w:rPr>
                <w:sz w:val="21"/>
                <w:szCs w:val="21"/>
              </w:rPr>
            </w:pPr>
            <w:r w:rsidRPr="02195735">
              <w:rPr>
                <w:sz w:val="21"/>
                <w:szCs w:val="21"/>
              </w:rPr>
              <w:t>Medical Entomology</w:t>
            </w:r>
          </w:p>
          <w:p w14:paraId="5E6448A0" w14:textId="77777777" w:rsidR="00B02FF3" w:rsidRPr="001E4861" w:rsidRDefault="02195735" w:rsidP="00B02FF3">
            <w:pPr>
              <w:pStyle w:val="ListParagraph"/>
              <w:numPr>
                <w:ilvl w:val="0"/>
                <w:numId w:val="32"/>
              </w:numPr>
              <w:rPr>
                <w:sz w:val="21"/>
                <w:szCs w:val="21"/>
              </w:rPr>
            </w:pPr>
            <w:r w:rsidRPr="02195735">
              <w:rPr>
                <w:sz w:val="21"/>
                <w:szCs w:val="21"/>
              </w:rPr>
              <w:t>Pest Control Technology</w:t>
            </w:r>
          </w:p>
          <w:p w14:paraId="50B72E24" w14:textId="77777777" w:rsidR="00B02FF3" w:rsidRPr="001E4861" w:rsidRDefault="02195735" w:rsidP="00B02FF3">
            <w:pPr>
              <w:pStyle w:val="ListParagraph"/>
              <w:numPr>
                <w:ilvl w:val="0"/>
                <w:numId w:val="32"/>
              </w:numPr>
              <w:rPr>
                <w:sz w:val="21"/>
                <w:szCs w:val="21"/>
              </w:rPr>
            </w:pPr>
            <w:r w:rsidRPr="02195735">
              <w:rPr>
                <w:sz w:val="21"/>
                <w:szCs w:val="21"/>
              </w:rPr>
              <w:t>Urban Pest Management</w:t>
            </w:r>
          </w:p>
          <w:p w14:paraId="1E71FAD7" w14:textId="77777777" w:rsidR="004A1922" w:rsidRPr="001E4861" w:rsidRDefault="004A1922" w:rsidP="000A13CD"/>
        </w:tc>
      </w:tr>
      <w:tr w:rsidR="004A1922" w:rsidRPr="001E4861" w14:paraId="3700EC2C" w14:textId="77777777" w:rsidTr="00A41F92">
        <w:trPr>
          <w:trHeight w:val="20"/>
          <w:tblHeader/>
        </w:trPr>
        <w:tc>
          <w:tcPr>
            <w:tcW w:w="2583" w:type="pct"/>
            <w:shd w:val="clear" w:color="auto" w:fill="F2F2F2" w:themeFill="background1" w:themeFillShade="F2"/>
          </w:tcPr>
          <w:p w14:paraId="392F05C0" w14:textId="0395BB2C" w:rsidR="004A1922" w:rsidRPr="001E4861" w:rsidRDefault="01BD1AF7" w:rsidP="000A13CD">
            <w:pPr>
              <w:rPr>
                <w:b/>
              </w:rPr>
            </w:pPr>
            <w:r w:rsidRPr="01BD1AF7">
              <w:rPr>
                <w:rFonts w:asciiTheme="majorHAnsi" w:eastAsiaTheme="majorEastAsia" w:hAnsiTheme="majorHAnsi" w:cstheme="majorBidi"/>
                <w:i/>
                <w:iCs/>
                <w:color w:val="262626" w:themeColor="text1" w:themeTint="D9"/>
              </w:rPr>
              <w:t>New additions in spring semester 2017</w:t>
            </w:r>
          </w:p>
        </w:tc>
        <w:tc>
          <w:tcPr>
            <w:tcW w:w="1209" w:type="pct"/>
            <w:shd w:val="clear" w:color="auto" w:fill="F2F2F2" w:themeFill="background1" w:themeFillShade="F2"/>
          </w:tcPr>
          <w:p w14:paraId="5BFC5C35" w14:textId="77777777" w:rsidR="004A1922" w:rsidRPr="001E4861" w:rsidRDefault="004A1922" w:rsidP="000A13CD"/>
        </w:tc>
        <w:tc>
          <w:tcPr>
            <w:tcW w:w="1207" w:type="pct"/>
            <w:shd w:val="clear" w:color="auto" w:fill="F2F2F2" w:themeFill="background1" w:themeFillShade="F2"/>
          </w:tcPr>
          <w:p w14:paraId="7B6A45B3" w14:textId="77777777" w:rsidR="004A1922" w:rsidRPr="001E4861" w:rsidRDefault="004A1922" w:rsidP="000A13CD"/>
        </w:tc>
      </w:tr>
      <w:tr w:rsidR="00385B91" w:rsidRPr="001E4861" w14:paraId="4D296699" w14:textId="77777777" w:rsidTr="00A41F92">
        <w:trPr>
          <w:trHeight w:val="20"/>
          <w:tblHeader/>
        </w:trPr>
        <w:tc>
          <w:tcPr>
            <w:tcW w:w="2583" w:type="pct"/>
          </w:tcPr>
          <w:p w14:paraId="39712F79"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Anthropology Specialization</w:t>
            </w:r>
          </w:p>
          <w:p w14:paraId="4637067B"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Computer &amp; Information Science Specialization</w:t>
            </w:r>
          </w:p>
          <w:p w14:paraId="48006823"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Criminology Specialization</w:t>
            </w:r>
          </w:p>
          <w:p w14:paraId="52A7DD2E"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Economic Geography Specialization</w:t>
            </w:r>
          </w:p>
          <w:p w14:paraId="0CDD1F15"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Educational Studies Specialization</w:t>
            </w:r>
          </w:p>
          <w:p w14:paraId="19FE154A"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Geology Specialization</w:t>
            </w:r>
          </w:p>
          <w:p w14:paraId="43837540" w14:textId="77777777" w:rsidR="004A1922" w:rsidRPr="001E4861" w:rsidRDefault="02195735" w:rsidP="004A1922">
            <w:pPr>
              <w:pStyle w:val="ListParagraph"/>
              <w:numPr>
                <w:ilvl w:val="0"/>
                <w:numId w:val="29"/>
              </w:numPr>
              <w:rPr>
                <w:sz w:val="21"/>
                <w:szCs w:val="21"/>
              </w:rPr>
            </w:pPr>
            <w:r w:rsidRPr="02195735">
              <w:rPr>
                <w:sz w:val="21"/>
                <w:szCs w:val="21"/>
              </w:rPr>
              <w:t>B.A., Business Administration - Sociology Specialization</w:t>
            </w:r>
          </w:p>
          <w:p w14:paraId="2535E906" w14:textId="05882BC5" w:rsidR="00561454" w:rsidRPr="00FE598C" w:rsidRDefault="02195735" w:rsidP="00FE598C">
            <w:pPr>
              <w:pStyle w:val="ListParagraph"/>
              <w:numPr>
                <w:ilvl w:val="0"/>
                <w:numId w:val="29"/>
              </w:numPr>
              <w:rPr>
                <w:sz w:val="21"/>
                <w:szCs w:val="21"/>
              </w:rPr>
            </w:pPr>
            <w:r w:rsidRPr="02195735">
              <w:rPr>
                <w:sz w:val="21"/>
                <w:szCs w:val="21"/>
              </w:rPr>
              <w:t>B.A., Business Administration - Sport Management Specialization</w:t>
            </w:r>
          </w:p>
        </w:tc>
        <w:tc>
          <w:tcPr>
            <w:tcW w:w="1209" w:type="pct"/>
          </w:tcPr>
          <w:p w14:paraId="20395DAE" w14:textId="437484F3" w:rsidR="004A1922" w:rsidRPr="001E4861" w:rsidRDefault="004A1922" w:rsidP="01BD1AF7"/>
          <w:p w14:paraId="43400584" w14:textId="35820675" w:rsidR="004A1922" w:rsidRPr="001E4861" w:rsidRDefault="004A1922" w:rsidP="00561454">
            <w:pPr>
              <w:pStyle w:val="ListParagraph"/>
              <w:ind w:left="432"/>
              <w:rPr>
                <w:sz w:val="21"/>
                <w:szCs w:val="21"/>
              </w:rPr>
            </w:pPr>
          </w:p>
        </w:tc>
        <w:tc>
          <w:tcPr>
            <w:tcW w:w="1207" w:type="pct"/>
          </w:tcPr>
          <w:p w14:paraId="1862589F" w14:textId="11DFC0AF" w:rsidR="004A1922" w:rsidRDefault="004A1922" w:rsidP="01BD1AF7"/>
          <w:p w14:paraId="3FC63166" w14:textId="150057FF" w:rsidR="003859C5" w:rsidRPr="003859C5" w:rsidRDefault="003859C5" w:rsidP="01BD1AF7"/>
          <w:p w14:paraId="0FEE89CE" w14:textId="77777777" w:rsidR="004A1922" w:rsidRPr="001E4861" w:rsidRDefault="004A1922" w:rsidP="00B02FF3">
            <w:pPr>
              <w:pStyle w:val="ListParagraph"/>
              <w:ind w:left="432"/>
              <w:rPr>
                <w:sz w:val="21"/>
                <w:szCs w:val="21"/>
              </w:rPr>
            </w:pPr>
          </w:p>
        </w:tc>
      </w:tr>
      <w:tr w:rsidR="004A1922" w:rsidRPr="001E4861" w14:paraId="1B61664A" w14:textId="77777777" w:rsidTr="00A41F92">
        <w:trPr>
          <w:trHeight w:val="20"/>
          <w:tblHeader/>
        </w:trPr>
        <w:tc>
          <w:tcPr>
            <w:tcW w:w="2583" w:type="pct"/>
            <w:shd w:val="clear" w:color="auto" w:fill="F2F2F2" w:themeFill="background1" w:themeFillShade="F2"/>
          </w:tcPr>
          <w:p w14:paraId="4851CF5A" w14:textId="77777777" w:rsidR="004A1922" w:rsidRPr="001E4861" w:rsidRDefault="02195735" w:rsidP="000A13CD">
            <w:pPr>
              <w:rPr>
                <w:b/>
              </w:rPr>
            </w:pPr>
            <w:r w:rsidRPr="02195735">
              <w:rPr>
                <w:rFonts w:asciiTheme="majorHAnsi" w:eastAsiaTheme="majorEastAsia" w:hAnsiTheme="majorHAnsi" w:cstheme="majorBidi"/>
                <w:b/>
                <w:bCs/>
                <w:color w:val="262626" w:themeColor="text1" w:themeTint="D9"/>
              </w:rPr>
              <w:t>2017-2018</w:t>
            </w:r>
          </w:p>
        </w:tc>
        <w:tc>
          <w:tcPr>
            <w:tcW w:w="1209" w:type="pct"/>
            <w:shd w:val="clear" w:color="auto" w:fill="F2F2F2" w:themeFill="background1" w:themeFillShade="F2"/>
          </w:tcPr>
          <w:p w14:paraId="058C8C63" w14:textId="77777777" w:rsidR="004A1922" w:rsidRPr="001E4861" w:rsidRDefault="004A1922" w:rsidP="000A13CD"/>
        </w:tc>
        <w:tc>
          <w:tcPr>
            <w:tcW w:w="1207" w:type="pct"/>
            <w:shd w:val="clear" w:color="auto" w:fill="F2F2F2" w:themeFill="background1" w:themeFillShade="F2"/>
          </w:tcPr>
          <w:p w14:paraId="7BF25986" w14:textId="77777777" w:rsidR="004A1922" w:rsidRPr="001E4861" w:rsidRDefault="004A1922" w:rsidP="000A13CD"/>
        </w:tc>
      </w:tr>
      <w:tr w:rsidR="00385B91" w:rsidRPr="001E4861" w14:paraId="5AB9826B" w14:textId="77777777" w:rsidTr="00A41F92">
        <w:trPr>
          <w:trHeight w:val="20"/>
          <w:tblHeader/>
        </w:trPr>
        <w:tc>
          <w:tcPr>
            <w:tcW w:w="2583" w:type="pct"/>
          </w:tcPr>
          <w:p w14:paraId="029DDB0F" w14:textId="77777777" w:rsidR="004A1922" w:rsidRPr="001E4861" w:rsidRDefault="02195735" w:rsidP="004A1922">
            <w:pPr>
              <w:pStyle w:val="ListParagraph"/>
              <w:numPr>
                <w:ilvl w:val="0"/>
                <w:numId w:val="29"/>
              </w:numPr>
              <w:rPr>
                <w:sz w:val="21"/>
                <w:szCs w:val="21"/>
              </w:rPr>
            </w:pPr>
            <w:r w:rsidRPr="02195735">
              <w:rPr>
                <w:sz w:val="21"/>
                <w:szCs w:val="21"/>
              </w:rPr>
              <w:t>B.S., Communication Sciences &amp; Disorders</w:t>
            </w:r>
          </w:p>
          <w:p w14:paraId="7CE98E6F" w14:textId="77777777" w:rsidR="004A1922" w:rsidRPr="001E4861" w:rsidRDefault="02195735" w:rsidP="004A1922">
            <w:pPr>
              <w:pStyle w:val="ListParagraph"/>
              <w:numPr>
                <w:ilvl w:val="0"/>
                <w:numId w:val="29"/>
              </w:numPr>
              <w:rPr>
                <w:sz w:val="21"/>
                <w:szCs w:val="21"/>
              </w:rPr>
            </w:pPr>
            <w:r w:rsidRPr="02195735">
              <w:rPr>
                <w:sz w:val="21"/>
                <w:szCs w:val="21"/>
              </w:rPr>
              <w:t>B.S., Fire &amp; Emergency Services - Emergency Management Track</w:t>
            </w:r>
          </w:p>
          <w:p w14:paraId="270A3D2D" w14:textId="77777777" w:rsidR="004A1922" w:rsidRPr="001E4861" w:rsidRDefault="02195735" w:rsidP="004A1922">
            <w:pPr>
              <w:pStyle w:val="ListParagraph"/>
              <w:numPr>
                <w:ilvl w:val="0"/>
                <w:numId w:val="29"/>
              </w:numPr>
              <w:rPr>
                <w:sz w:val="21"/>
                <w:szCs w:val="21"/>
              </w:rPr>
            </w:pPr>
            <w:r w:rsidRPr="02195735">
              <w:rPr>
                <w:sz w:val="21"/>
                <w:szCs w:val="21"/>
              </w:rPr>
              <w:t>B.S., Fire &amp; Emergency Services - Fire Management Track</w:t>
            </w:r>
          </w:p>
          <w:p w14:paraId="4ED9B3B3" w14:textId="77777777" w:rsidR="004A1922" w:rsidRPr="001E4861" w:rsidRDefault="02195735" w:rsidP="004A1922">
            <w:pPr>
              <w:pStyle w:val="ListParagraph"/>
              <w:numPr>
                <w:ilvl w:val="0"/>
                <w:numId w:val="29"/>
              </w:numPr>
              <w:rPr>
                <w:sz w:val="21"/>
                <w:szCs w:val="21"/>
              </w:rPr>
            </w:pPr>
            <w:r w:rsidRPr="02195735">
              <w:rPr>
                <w:sz w:val="21"/>
                <w:szCs w:val="21"/>
              </w:rPr>
              <w:t>B.S., Fire &amp; Emergency Services - Emergency Medical Services Management Track</w:t>
            </w:r>
          </w:p>
          <w:p w14:paraId="10CFB764" w14:textId="77777777" w:rsidR="004A1922" w:rsidRPr="001E4861" w:rsidRDefault="02195735" w:rsidP="004A1922">
            <w:pPr>
              <w:pStyle w:val="ListParagraph"/>
              <w:numPr>
                <w:ilvl w:val="0"/>
                <w:numId w:val="29"/>
              </w:numPr>
              <w:rPr>
                <w:sz w:val="21"/>
                <w:szCs w:val="21"/>
              </w:rPr>
            </w:pPr>
            <w:r w:rsidRPr="02195735">
              <w:rPr>
                <w:sz w:val="21"/>
                <w:szCs w:val="21"/>
              </w:rPr>
              <w:t>B.S., Microbiology &amp; Cell Science</w:t>
            </w:r>
          </w:p>
          <w:p w14:paraId="0BBB373F" w14:textId="77777777" w:rsidR="00B02FF3" w:rsidRPr="001E4861" w:rsidRDefault="02195735" w:rsidP="00B02FF3">
            <w:pPr>
              <w:pStyle w:val="ListParagraph"/>
              <w:numPr>
                <w:ilvl w:val="0"/>
                <w:numId w:val="29"/>
              </w:numPr>
              <w:rPr>
                <w:sz w:val="21"/>
                <w:szCs w:val="21"/>
              </w:rPr>
            </w:pPr>
            <w:r w:rsidRPr="02195735">
              <w:rPr>
                <w:sz w:val="21"/>
                <w:szCs w:val="21"/>
              </w:rPr>
              <w:t>B.A., Educational Studies</w:t>
            </w:r>
          </w:p>
          <w:p w14:paraId="28431D0B" w14:textId="77777777" w:rsidR="00B02FF3" w:rsidRPr="001E4861" w:rsidRDefault="00B02FF3" w:rsidP="00EB3318">
            <w:pPr>
              <w:pStyle w:val="ListParagraph"/>
              <w:ind w:left="432"/>
              <w:rPr>
                <w:sz w:val="21"/>
                <w:szCs w:val="21"/>
              </w:rPr>
            </w:pPr>
          </w:p>
        </w:tc>
        <w:tc>
          <w:tcPr>
            <w:tcW w:w="1209" w:type="pct"/>
          </w:tcPr>
          <w:p w14:paraId="35363DBF" w14:textId="61165FF6" w:rsidR="00561454" w:rsidRPr="001E4861" w:rsidRDefault="01BD1AF7" w:rsidP="00561454">
            <w:pPr>
              <w:pStyle w:val="ListParagraph"/>
              <w:numPr>
                <w:ilvl w:val="0"/>
                <w:numId w:val="34"/>
              </w:numPr>
              <w:rPr>
                <w:sz w:val="21"/>
                <w:szCs w:val="21"/>
              </w:rPr>
            </w:pPr>
            <w:r w:rsidRPr="01BD1AF7">
              <w:rPr>
                <w:sz w:val="21"/>
                <w:szCs w:val="21"/>
              </w:rPr>
              <w:t>Accounting</w:t>
            </w:r>
          </w:p>
          <w:p w14:paraId="70C77A81" w14:textId="7E5F9A37" w:rsidR="00561454" w:rsidRPr="001E4861" w:rsidRDefault="00561454" w:rsidP="00561454">
            <w:pPr>
              <w:pStyle w:val="ListParagraph"/>
              <w:numPr>
                <w:ilvl w:val="0"/>
                <w:numId w:val="34"/>
              </w:numPr>
              <w:rPr>
                <w:sz w:val="21"/>
                <w:szCs w:val="21"/>
              </w:rPr>
            </w:pPr>
            <w:r w:rsidRPr="02195735">
              <w:rPr>
                <w:sz w:val="21"/>
                <w:szCs w:val="21"/>
              </w:rPr>
              <w:t>Biology</w:t>
            </w:r>
          </w:p>
          <w:p w14:paraId="31BDE878" w14:textId="7ACB7F78" w:rsidR="004A1922" w:rsidRPr="001E4861" w:rsidRDefault="02195735" w:rsidP="00B02FF3">
            <w:pPr>
              <w:pStyle w:val="ListParagraph"/>
              <w:numPr>
                <w:ilvl w:val="0"/>
                <w:numId w:val="34"/>
              </w:numPr>
              <w:rPr>
                <w:sz w:val="21"/>
                <w:szCs w:val="21"/>
              </w:rPr>
            </w:pPr>
            <w:r w:rsidRPr="02195735">
              <w:rPr>
                <w:sz w:val="21"/>
                <w:szCs w:val="21"/>
              </w:rPr>
              <w:t xml:space="preserve">Educational Studies </w:t>
            </w:r>
          </w:p>
          <w:p w14:paraId="6519E009" w14:textId="77777777" w:rsidR="00561454" w:rsidRDefault="00561454" w:rsidP="00B02FF3">
            <w:pPr>
              <w:pStyle w:val="ListParagraph"/>
              <w:numPr>
                <w:ilvl w:val="0"/>
                <w:numId w:val="34"/>
              </w:numPr>
              <w:rPr>
                <w:sz w:val="21"/>
                <w:szCs w:val="21"/>
              </w:rPr>
            </w:pPr>
            <w:r w:rsidRPr="02195735">
              <w:rPr>
                <w:sz w:val="21"/>
                <w:szCs w:val="21"/>
              </w:rPr>
              <w:t xml:space="preserve">Entomology &amp; Nematology </w:t>
            </w:r>
          </w:p>
          <w:p w14:paraId="5D8C0348" w14:textId="2CB4A0E6" w:rsidR="004A1922" w:rsidRPr="001E4861" w:rsidRDefault="02195735" w:rsidP="00B02FF3">
            <w:pPr>
              <w:pStyle w:val="ListParagraph"/>
              <w:numPr>
                <w:ilvl w:val="0"/>
                <w:numId w:val="34"/>
              </w:numPr>
              <w:rPr>
                <w:sz w:val="21"/>
                <w:szCs w:val="21"/>
              </w:rPr>
            </w:pPr>
            <w:r w:rsidRPr="02195735">
              <w:rPr>
                <w:sz w:val="21"/>
                <w:szCs w:val="21"/>
              </w:rPr>
              <w:t>Family, Youth, &amp; Community Sciences</w:t>
            </w:r>
          </w:p>
        </w:tc>
        <w:tc>
          <w:tcPr>
            <w:tcW w:w="1207" w:type="pct"/>
          </w:tcPr>
          <w:p w14:paraId="72D3EF7F" w14:textId="77777777" w:rsidR="01BD1AF7" w:rsidRDefault="01BD1AF7" w:rsidP="00FE598C">
            <w:pPr>
              <w:pStyle w:val="ListParagraph"/>
              <w:numPr>
                <w:ilvl w:val="0"/>
                <w:numId w:val="40"/>
              </w:numPr>
              <w:rPr>
                <w:sz w:val="21"/>
                <w:szCs w:val="21"/>
              </w:rPr>
            </w:pPr>
            <w:r w:rsidRPr="01BD1AF7">
              <w:rPr>
                <w:sz w:val="21"/>
                <w:szCs w:val="21"/>
              </w:rPr>
              <w:t>Emergency Management</w:t>
            </w:r>
          </w:p>
          <w:p w14:paraId="10F1CAC0" w14:textId="17F8DE94" w:rsidR="01BD1AF7" w:rsidRDefault="01BD1AF7" w:rsidP="00FE598C">
            <w:pPr>
              <w:pStyle w:val="ListParagraph"/>
              <w:numPr>
                <w:ilvl w:val="0"/>
                <w:numId w:val="40"/>
              </w:numPr>
              <w:rPr>
                <w:sz w:val="21"/>
                <w:szCs w:val="21"/>
              </w:rPr>
            </w:pPr>
            <w:r w:rsidRPr="01BD1AF7">
              <w:rPr>
                <w:sz w:val="21"/>
                <w:szCs w:val="21"/>
              </w:rPr>
              <w:t>EMS</w:t>
            </w:r>
            <w:r w:rsidR="02195735" w:rsidRPr="02195735">
              <w:rPr>
                <w:sz w:val="21"/>
                <w:szCs w:val="21"/>
              </w:rPr>
              <w:t xml:space="preserve"> Management</w:t>
            </w:r>
          </w:p>
          <w:p w14:paraId="23AA638B" w14:textId="01B296A5" w:rsidR="004A1922" w:rsidRPr="001E4861" w:rsidRDefault="004A1922" w:rsidP="01BD1AF7"/>
        </w:tc>
      </w:tr>
      <w:tr w:rsidR="004A1922" w:rsidRPr="001E4861" w14:paraId="3861DA1C" w14:textId="77777777" w:rsidTr="00A41F92">
        <w:trPr>
          <w:trHeight w:val="20"/>
          <w:tblHeader/>
        </w:trPr>
        <w:tc>
          <w:tcPr>
            <w:tcW w:w="2583" w:type="pct"/>
            <w:shd w:val="clear" w:color="auto" w:fill="F2F2F2" w:themeFill="background1" w:themeFillShade="F2"/>
          </w:tcPr>
          <w:p w14:paraId="19CD222F" w14:textId="77777777" w:rsidR="004A1922" w:rsidRPr="001E4861" w:rsidRDefault="02195735" w:rsidP="000A13CD">
            <w:pPr>
              <w:rPr>
                <w:b/>
              </w:rPr>
            </w:pPr>
            <w:r w:rsidRPr="02195735">
              <w:rPr>
                <w:rFonts w:asciiTheme="majorHAnsi" w:eastAsiaTheme="majorEastAsia" w:hAnsiTheme="majorHAnsi" w:cstheme="majorBidi"/>
                <w:b/>
                <w:bCs/>
                <w:color w:val="262626" w:themeColor="text1" w:themeTint="D9"/>
              </w:rPr>
              <w:t>2018-2019</w:t>
            </w:r>
          </w:p>
        </w:tc>
        <w:tc>
          <w:tcPr>
            <w:tcW w:w="1209" w:type="pct"/>
            <w:shd w:val="clear" w:color="auto" w:fill="F2F2F2" w:themeFill="background1" w:themeFillShade="F2"/>
          </w:tcPr>
          <w:p w14:paraId="6DA51A59" w14:textId="77777777" w:rsidR="004A1922" w:rsidRPr="001E4861" w:rsidRDefault="004A1922" w:rsidP="000A13CD"/>
        </w:tc>
        <w:tc>
          <w:tcPr>
            <w:tcW w:w="1207" w:type="pct"/>
            <w:shd w:val="clear" w:color="auto" w:fill="F2F2F2" w:themeFill="background1" w:themeFillShade="F2"/>
          </w:tcPr>
          <w:p w14:paraId="71F0A7CA" w14:textId="77777777" w:rsidR="004A1922" w:rsidRPr="001E4861" w:rsidRDefault="004A1922" w:rsidP="000A13CD"/>
        </w:tc>
      </w:tr>
      <w:tr w:rsidR="004A1922" w:rsidRPr="001E4861" w14:paraId="2B4D68DC" w14:textId="77777777" w:rsidTr="00A41F92">
        <w:trPr>
          <w:trHeight w:val="1689"/>
          <w:tblHeader/>
        </w:trPr>
        <w:tc>
          <w:tcPr>
            <w:tcW w:w="2583" w:type="pct"/>
          </w:tcPr>
          <w:p w14:paraId="1CF9230A" w14:textId="77777777" w:rsidR="004A1922" w:rsidRPr="001E4861" w:rsidRDefault="02195735" w:rsidP="004A1922">
            <w:pPr>
              <w:pStyle w:val="ListParagraph"/>
              <w:numPr>
                <w:ilvl w:val="0"/>
                <w:numId w:val="29"/>
              </w:numPr>
              <w:rPr>
                <w:sz w:val="21"/>
                <w:szCs w:val="21"/>
              </w:rPr>
            </w:pPr>
            <w:r w:rsidRPr="02195735">
              <w:rPr>
                <w:sz w:val="21"/>
                <w:szCs w:val="21"/>
              </w:rPr>
              <w:t>B.A., Advertising</w:t>
            </w:r>
          </w:p>
          <w:p w14:paraId="1CC1F952" w14:textId="77777777" w:rsidR="004A1922" w:rsidRPr="001E4861" w:rsidRDefault="02195735" w:rsidP="004A1922">
            <w:pPr>
              <w:pStyle w:val="ListParagraph"/>
              <w:numPr>
                <w:ilvl w:val="0"/>
                <w:numId w:val="29"/>
              </w:numPr>
              <w:rPr>
                <w:sz w:val="21"/>
                <w:szCs w:val="21"/>
              </w:rPr>
            </w:pPr>
            <w:r w:rsidRPr="02195735">
              <w:rPr>
                <w:sz w:val="21"/>
                <w:szCs w:val="21"/>
              </w:rPr>
              <w:t>B.S., Agricultural Education &amp; Communication</w:t>
            </w:r>
          </w:p>
          <w:p w14:paraId="58868B97" w14:textId="77777777" w:rsidR="004A1922" w:rsidRPr="001E4861" w:rsidRDefault="02195735" w:rsidP="004A1922">
            <w:pPr>
              <w:pStyle w:val="ListParagraph"/>
              <w:numPr>
                <w:ilvl w:val="0"/>
                <w:numId w:val="29"/>
              </w:numPr>
              <w:rPr>
                <w:sz w:val="21"/>
                <w:szCs w:val="21"/>
              </w:rPr>
            </w:pPr>
            <w:r w:rsidRPr="02195735">
              <w:rPr>
                <w:sz w:val="21"/>
                <w:szCs w:val="21"/>
              </w:rPr>
              <w:t>B.S., Applied Physiology &amp; Kinesiology</w:t>
            </w:r>
          </w:p>
          <w:p w14:paraId="3CA600AA" w14:textId="77777777" w:rsidR="004A1922" w:rsidRPr="001E4861" w:rsidRDefault="02195735" w:rsidP="004A1922">
            <w:pPr>
              <w:pStyle w:val="ListParagraph"/>
              <w:numPr>
                <w:ilvl w:val="0"/>
                <w:numId w:val="29"/>
              </w:numPr>
              <w:rPr>
                <w:sz w:val="21"/>
                <w:szCs w:val="21"/>
              </w:rPr>
            </w:pPr>
            <w:r w:rsidRPr="02195735">
              <w:rPr>
                <w:sz w:val="21"/>
                <w:szCs w:val="21"/>
              </w:rPr>
              <w:t xml:space="preserve">B.S., Computer Engineering </w:t>
            </w:r>
          </w:p>
          <w:p w14:paraId="4774474F" w14:textId="77777777" w:rsidR="004A1922" w:rsidRPr="001E4861" w:rsidRDefault="02195735" w:rsidP="004A1922">
            <w:pPr>
              <w:pStyle w:val="ListParagraph"/>
              <w:numPr>
                <w:ilvl w:val="0"/>
                <w:numId w:val="29"/>
              </w:numPr>
              <w:rPr>
                <w:sz w:val="21"/>
                <w:szCs w:val="21"/>
              </w:rPr>
            </w:pPr>
            <w:r w:rsidRPr="02195735">
              <w:rPr>
                <w:sz w:val="21"/>
                <w:szCs w:val="21"/>
              </w:rPr>
              <w:t>B.S., Entomology &amp; Nematology</w:t>
            </w:r>
          </w:p>
          <w:p w14:paraId="52E07B76" w14:textId="77777777" w:rsidR="004A1922" w:rsidRPr="001E4861" w:rsidRDefault="02195735" w:rsidP="004A1922">
            <w:pPr>
              <w:pStyle w:val="ListParagraph"/>
              <w:numPr>
                <w:ilvl w:val="0"/>
                <w:numId w:val="29"/>
              </w:numPr>
              <w:rPr>
                <w:sz w:val="21"/>
                <w:szCs w:val="21"/>
              </w:rPr>
            </w:pPr>
            <w:r w:rsidRPr="02195735">
              <w:rPr>
                <w:sz w:val="21"/>
                <w:szCs w:val="21"/>
              </w:rPr>
              <w:t>B.S., Finance</w:t>
            </w:r>
          </w:p>
        </w:tc>
        <w:tc>
          <w:tcPr>
            <w:tcW w:w="1209" w:type="pct"/>
          </w:tcPr>
          <w:p w14:paraId="08ED4EF0" w14:textId="27636885" w:rsidR="004A1922" w:rsidRPr="001E4861" w:rsidRDefault="02195735" w:rsidP="00B02FF3">
            <w:pPr>
              <w:pStyle w:val="ListParagraph"/>
              <w:numPr>
                <w:ilvl w:val="0"/>
                <w:numId w:val="34"/>
              </w:numPr>
              <w:rPr>
                <w:sz w:val="21"/>
                <w:szCs w:val="21"/>
              </w:rPr>
            </w:pPr>
            <w:r w:rsidRPr="02195735">
              <w:rPr>
                <w:sz w:val="21"/>
                <w:szCs w:val="21"/>
              </w:rPr>
              <w:t xml:space="preserve">Advertising </w:t>
            </w:r>
          </w:p>
          <w:p w14:paraId="12FA0456" w14:textId="77777777" w:rsidR="004A1922" w:rsidRPr="001E4861" w:rsidRDefault="02195735" w:rsidP="00B02FF3">
            <w:pPr>
              <w:pStyle w:val="ListParagraph"/>
              <w:numPr>
                <w:ilvl w:val="0"/>
                <w:numId w:val="34"/>
              </w:numPr>
              <w:rPr>
                <w:sz w:val="21"/>
                <w:szCs w:val="21"/>
              </w:rPr>
            </w:pPr>
            <w:r w:rsidRPr="02195735">
              <w:rPr>
                <w:sz w:val="21"/>
                <w:szCs w:val="21"/>
              </w:rPr>
              <w:t>Food &amp; Resource Economics</w:t>
            </w:r>
          </w:p>
        </w:tc>
        <w:tc>
          <w:tcPr>
            <w:tcW w:w="1207" w:type="pct"/>
          </w:tcPr>
          <w:p w14:paraId="1E2ADEA6" w14:textId="0482BB28" w:rsidR="004A1922" w:rsidRPr="001E4861" w:rsidRDefault="01BD1AF7" w:rsidP="00FE598C">
            <w:pPr>
              <w:pStyle w:val="ListParagraph"/>
              <w:numPr>
                <w:ilvl w:val="0"/>
                <w:numId w:val="40"/>
              </w:numPr>
              <w:rPr>
                <w:sz w:val="21"/>
                <w:szCs w:val="21"/>
              </w:rPr>
            </w:pPr>
            <w:r w:rsidRPr="01BD1AF7">
              <w:rPr>
                <w:sz w:val="21"/>
                <w:szCs w:val="21"/>
              </w:rPr>
              <w:t>Environmental Management</w:t>
            </w:r>
          </w:p>
          <w:p w14:paraId="24538A4F" w14:textId="77777777" w:rsidR="004A1922" w:rsidRPr="001E4861" w:rsidRDefault="01BD1AF7" w:rsidP="00FE598C">
            <w:pPr>
              <w:pStyle w:val="ListParagraph"/>
              <w:numPr>
                <w:ilvl w:val="0"/>
                <w:numId w:val="40"/>
              </w:numPr>
              <w:rPr>
                <w:sz w:val="21"/>
                <w:szCs w:val="21"/>
              </w:rPr>
            </w:pPr>
            <w:r w:rsidRPr="01BD1AF7">
              <w:rPr>
                <w:sz w:val="21"/>
                <w:szCs w:val="21"/>
              </w:rPr>
              <w:t xml:space="preserve">Public Relations </w:t>
            </w:r>
          </w:p>
          <w:p w14:paraId="39B25334" w14:textId="6793F023" w:rsidR="004A1922" w:rsidRPr="001E4861" w:rsidRDefault="01BD1AF7" w:rsidP="00FE598C">
            <w:pPr>
              <w:pStyle w:val="ListParagraph"/>
              <w:numPr>
                <w:ilvl w:val="0"/>
                <w:numId w:val="40"/>
              </w:numPr>
              <w:rPr>
                <w:sz w:val="21"/>
                <w:szCs w:val="21"/>
              </w:rPr>
            </w:pPr>
            <w:r w:rsidRPr="01BD1AF7">
              <w:rPr>
                <w:sz w:val="21"/>
                <w:szCs w:val="21"/>
              </w:rPr>
              <w:t>Sports Management</w:t>
            </w:r>
          </w:p>
          <w:p w14:paraId="1C852518" w14:textId="28647FAB" w:rsidR="004A1922" w:rsidRPr="001E4861" w:rsidRDefault="02195735" w:rsidP="00FE598C">
            <w:pPr>
              <w:pStyle w:val="ListParagraph"/>
              <w:numPr>
                <w:ilvl w:val="0"/>
                <w:numId w:val="40"/>
              </w:numPr>
              <w:rPr>
                <w:sz w:val="21"/>
                <w:szCs w:val="21"/>
              </w:rPr>
            </w:pPr>
            <w:r w:rsidRPr="02195735">
              <w:rPr>
                <w:sz w:val="21"/>
                <w:szCs w:val="21"/>
              </w:rPr>
              <w:t>Computer Science</w:t>
            </w:r>
          </w:p>
          <w:p w14:paraId="3AECD8FE" w14:textId="77777777" w:rsidR="004A1922" w:rsidRPr="001E4861" w:rsidRDefault="02195735" w:rsidP="00FE598C">
            <w:pPr>
              <w:pStyle w:val="ListParagraph"/>
              <w:numPr>
                <w:ilvl w:val="0"/>
                <w:numId w:val="40"/>
              </w:numPr>
              <w:rPr>
                <w:sz w:val="21"/>
                <w:szCs w:val="21"/>
              </w:rPr>
            </w:pPr>
            <w:r w:rsidRPr="02195735">
              <w:rPr>
                <w:sz w:val="21"/>
                <w:szCs w:val="21"/>
              </w:rPr>
              <w:t>Criminology - Law Enforcement</w:t>
            </w:r>
          </w:p>
        </w:tc>
      </w:tr>
    </w:tbl>
    <w:p w14:paraId="4498B02E" w14:textId="7F261030" w:rsidR="00D04441" w:rsidRDefault="29BEA7ED" w:rsidP="00D04441">
      <w:pPr>
        <w:pStyle w:val="Heading1"/>
      </w:pPr>
      <w:r>
        <w:lastRenderedPageBreak/>
        <w:t>Amendment 3: UF Online Enrollment Projections</w:t>
      </w:r>
    </w:p>
    <w:p w14:paraId="45811276" w14:textId="2B5147AC" w:rsidR="000633F2" w:rsidRDefault="29BEA7ED" w:rsidP="00385B91">
      <w:r>
        <w:t xml:space="preserve">The original enrollment projections were developed by our vendor partner with limited data and experience in recruiting a fully-online undergraduate degree student population with the same academic frameworks of a large, public, research, land grant institution similar to the University of Florida. Since the launch of UF Online in January 2014, the University has developed additional expertise in administering a highly-selective, online bachelor’s program to offer improved projections. We propose the following text and chart as an amendment to the comprehensive business plan: </w:t>
      </w:r>
    </w:p>
    <w:p w14:paraId="1CA2AFC8" w14:textId="295A0C46" w:rsidR="000633F2" w:rsidRDefault="29BEA7ED" w:rsidP="29BEA7ED">
      <w:pPr>
        <w:pStyle w:val="Heading1"/>
      </w:pPr>
      <w:r w:rsidRPr="29BEA7ED">
        <w:rPr>
          <w:b w:val="0"/>
          <w:color w:val="595959" w:themeColor="text1" w:themeTint="A6"/>
          <w:sz w:val="36"/>
          <w:szCs w:val="36"/>
        </w:rPr>
        <w:t>UF Online Enrollment Projections thru 2019</w:t>
      </w:r>
    </w:p>
    <w:p w14:paraId="30AB9FA4" w14:textId="4C037AA1" w:rsidR="000633F2" w:rsidRDefault="29BEA7ED" w:rsidP="00385B91">
      <w:r>
        <w:t xml:space="preserve">We expect to see continued growth in demand for UF Online and are finding considerably more demand in-state than originally projected. With our continued proliferation of premier online programs and pathways, coupled with rising demand for a highly-reputable, affordable, and workforce-relevant online undergraduate degree program, we project steady growth with our ongoing commitment to ensuring the greatest academic success of our students through appropriate admissions standards on par with our campus programs. The University of Florida will continue to recruit students across the country and around the world to grow our out of state student body while we remain committed to serving the needs of Floridians with premier online academic programs in a versatile and affordable format.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58" w:type="dxa"/>
          <w:bottom w:w="29" w:type="dxa"/>
          <w:right w:w="58" w:type="dxa"/>
        </w:tblCellMar>
        <w:tblLook w:val="04A0" w:firstRow="1" w:lastRow="0" w:firstColumn="1" w:lastColumn="0" w:noHBand="0" w:noVBand="1"/>
      </w:tblPr>
      <w:tblGrid>
        <w:gridCol w:w="3838"/>
        <w:gridCol w:w="1738"/>
        <w:gridCol w:w="1738"/>
        <w:gridCol w:w="1737"/>
        <w:gridCol w:w="1739"/>
      </w:tblGrid>
      <w:tr w:rsidR="00EE3B9D" w:rsidRPr="008A26DF" w14:paraId="3C949D14" w14:textId="77777777" w:rsidTr="008A26DF">
        <w:trPr>
          <w:trHeight w:val="20"/>
        </w:trPr>
        <w:tc>
          <w:tcPr>
            <w:tcW w:w="1778" w:type="pct"/>
            <w:shd w:val="clear" w:color="auto" w:fill="F2F2F2" w:themeFill="background1" w:themeFillShade="F2"/>
            <w:noWrap/>
            <w:vAlign w:val="bottom"/>
            <w:hideMark/>
          </w:tcPr>
          <w:p w14:paraId="4C0C24A5" w14:textId="77777777" w:rsidR="00EE3B9D" w:rsidRPr="008A26DF" w:rsidRDefault="00EE3B9D" w:rsidP="003F4BCA">
            <w:pPr>
              <w:pStyle w:val="NoSpacing"/>
              <w:rPr>
                <w:b/>
                <w:sz w:val="20"/>
              </w:rPr>
            </w:pPr>
            <w:r w:rsidRPr="008A26DF">
              <w:rPr>
                <w:b/>
                <w:sz w:val="20"/>
              </w:rPr>
              <w:t>Academic Year</w:t>
            </w:r>
          </w:p>
        </w:tc>
        <w:tc>
          <w:tcPr>
            <w:tcW w:w="805" w:type="pct"/>
            <w:shd w:val="clear" w:color="000000" w:fill="F2F2F2"/>
            <w:noWrap/>
            <w:vAlign w:val="bottom"/>
            <w:hideMark/>
          </w:tcPr>
          <w:p w14:paraId="08E6B499" w14:textId="77777777" w:rsidR="00EE3B9D" w:rsidRPr="008A26DF" w:rsidRDefault="00EE3B9D" w:rsidP="003F4BCA">
            <w:pPr>
              <w:pStyle w:val="NoSpacing"/>
              <w:jc w:val="center"/>
              <w:rPr>
                <w:b/>
                <w:bCs/>
                <w:sz w:val="20"/>
              </w:rPr>
            </w:pPr>
            <w:r w:rsidRPr="008A26DF">
              <w:rPr>
                <w:b/>
                <w:bCs/>
                <w:sz w:val="20"/>
              </w:rPr>
              <w:t>2016-2017</w:t>
            </w:r>
          </w:p>
        </w:tc>
        <w:tc>
          <w:tcPr>
            <w:tcW w:w="805" w:type="pct"/>
            <w:shd w:val="clear" w:color="000000" w:fill="F2F2F2"/>
            <w:noWrap/>
            <w:vAlign w:val="bottom"/>
            <w:hideMark/>
          </w:tcPr>
          <w:p w14:paraId="15AAFF37" w14:textId="77777777" w:rsidR="00EE3B9D" w:rsidRPr="008A26DF" w:rsidRDefault="00EE3B9D" w:rsidP="003F4BCA">
            <w:pPr>
              <w:pStyle w:val="NoSpacing"/>
              <w:jc w:val="center"/>
              <w:rPr>
                <w:b/>
                <w:bCs/>
                <w:sz w:val="20"/>
              </w:rPr>
            </w:pPr>
            <w:r w:rsidRPr="008A26DF">
              <w:rPr>
                <w:b/>
                <w:bCs/>
                <w:sz w:val="20"/>
              </w:rPr>
              <w:t>2017-2018</w:t>
            </w:r>
          </w:p>
        </w:tc>
        <w:tc>
          <w:tcPr>
            <w:tcW w:w="805" w:type="pct"/>
            <w:shd w:val="clear" w:color="000000" w:fill="F2F2F2"/>
            <w:noWrap/>
            <w:vAlign w:val="bottom"/>
            <w:hideMark/>
          </w:tcPr>
          <w:p w14:paraId="5C0DAC35" w14:textId="77777777" w:rsidR="00EE3B9D" w:rsidRPr="008A26DF" w:rsidRDefault="00EE3B9D" w:rsidP="003F4BCA">
            <w:pPr>
              <w:pStyle w:val="NoSpacing"/>
              <w:jc w:val="center"/>
              <w:rPr>
                <w:b/>
                <w:bCs/>
                <w:sz w:val="20"/>
              </w:rPr>
            </w:pPr>
            <w:r w:rsidRPr="008A26DF">
              <w:rPr>
                <w:b/>
                <w:bCs/>
                <w:sz w:val="20"/>
              </w:rPr>
              <w:t>2018-2019</w:t>
            </w:r>
          </w:p>
        </w:tc>
        <w:tc>
          <w:tcPr>
            <w:tcW w:w="806" w:type="pct"/>
            <w:shd w:val="clear" w:color="000000" w:fill="F2F2F2"/>
            <w:noWrap/>
            <w:vAlign w:val="bottom"/>
            <w:hideMark/>
          </w:tcPr>
          <w:p w14:paraId="1394552F" w14:textId="77777777" w:rsidR="00EE3B9D" w:rsidRPr="008A26DF" w:rsidRDefault="00EE3B9D" w:rsidP="003F4BCA">
            <w:pPr>
              <w:pStyle w:val="NoSpacing"/>
              <w:jc w:val="center"/>
              <w:rPr>
                <w:b/>
                <w:bCs/>
                <w:sz w:val="20"/>
              </w:rPr>
            </w:pPr>
            <w:r w:rsidRPr="008A26DF">
              <w:rPr>
                <w:b/>
                <w:bCs/>
                <w:sz w:val="20"/>
              </w:rPr>
              <w:t>2019-2020</w:t>
            </w:r>
          </w:p>
        </w:tc>
      </w:tr>
      <w:tr w:rsidR="00EE3B9D" w:rsidRPr="008A26DF" w14:paraId="3A8D67FE" w14:textId="77777777" w:rsidTr="008A26DF">
        <w:trPr>
          <w:trHeight w:val="20"/>
        </w:trPr>
        <w:tc>
          <w:tcPr>
            <w:tcW w:w="1778" w:type="pct"/>
            <w:shd w:val="clear" w:color="auto" w:fill="auto"/>
            <w:vAlign w:val="bottom"/>
          </w:tcPr>
          <w:p w14:paraId="2C5ADA2A" w14:textId="77777777" w:rsidR="00EE3B9D" w:rsidRPr="008A26DF" w:rsidRDefault="00EE3B9D" w:rsidP="003F4BCA">
            <w:pPr>
              <w:pStyle w:val="NoSpacing"/>
              <w:rPr>
                <w:sz w:val="20"/>
              </w:rPr>
            </w:pPr>
          </w:p>
        </w:tc>
        <w:tc>
          <w:tcPr>
            <w:tcW w:w="805" w:type="pct"/>
            <w:shd w:val="clear" w:color="auto" w:fill="auto"/>
            <w:vAlign w:val="bottom"/>
          </w:tcPr>
          <w:p w14:paraId="34704531" w14:textId="77777777" w:rsidR="00EE3B9D" w:rsidRPr="008A26DF" w:rsidRDefault="00EE3B9D" w:rsidP="003F4BCA">
            <w:pPr>
              <w:pStyle w:val="NoSpacing"/>
              <w:rPr>
                <w:sz w:val="20"/>
              </w:rPr>
            </w:pPr>
          </w:p>
        </w:tc>
        <w:tc>
          <w:tcPr>
            <w:tcW w:w="805" w:type="pct"/>
            <w:shd w:val="clear" w:color="auto" w:fill="auto"/>
            <w:vAlign w:val="bottom"/>
          </w:tcPr>
          <w:p w14:paraId="521B2AA9" w14:textId="77777777" w:rsidR="00EE3B9D" w:rsidRPr="008A26DF" w:rsidRDefault="00EE3B9D" w:rsidP="003F4BCA">
            <w:pPr>
              <w:pStyle w:val="NoSpacing"/>
              <w:rPr>
                <w:sz w:val="20"/>
              </w:rPr>
            </w:pPr>
          </w:p>
        </w:tc>
        <w:tc>
          <w:tcPr>
            <w:tcW w:w="805" w:type="pct"/>
            <w:shd w:val="clear" w:color="auto" w:fill="auto"/>
            <w:vAlign w:val="bottom"/>
          </w:tcPr>
          <w:p w14:paraId="774088A2" w14:textId="77777777" w:rsidR="00EE3B9D" w:rsidRPr="008A26DF" w:rsidRDefault="00EE3B9D" w:rsidP="003F4BCA">
            <w:pPr>
              <w:pStyle w:val="NoSpacing"/>
              <w:rPr>
                <w:sz w:val="20"/>
              </w:rPr>
            </w:pPr>
          </w:p>
        </w:tc>
        <w:tc>
          <w:tcPr>
            <w:tcW w:w="806" w:type="pct"/>
            <w:shd w:val="clear" w:color="auto" w:fill="auto"/>
            <w:vAlign w:val="bottom"/>
          </w:tcPr>
          <w:p w14:paraId="01C696A2" w14:textId="77777777" w:rsidR="00EE3B9D" w:rsidRPr="008A26DF" w:rsidRDefault="00EE3B9D" w:rsidP="003F4BCA">
            <w:pPr>
              <w:pStyle w:val="NoSpacing"/>
              <w:rPr>
                <w:sz w:val="20"/>
              </w:rPr>
            </w:pPr>
          </w:p>
        </w:tc>
      </w:tr>
      <w:tr w:rsidR="00EE3B9D" w:rsidRPr="008A26DF" w14:paraId="6C42AD0E" w14:textId="77777777" w:rsidTr="008A26DF">
        <w:trPr>
          <w:trHeight w:val="20"/>
        </w:trPr>
        <w:tc>
          <w:tcPr>
            <w:tcW w:w="1778" w:type="pct"/>
            <w:shd w:val="clear" w:color="auto" w:fill="auto"/>
            <w:vAlign w:val="bottom"/>
            <w:hideMark/>
          </w:tcPr>
          <w:p w14:paraId="5DDB5C62" w14:textId="77777777" w:rsidR="00EE3B9D" w:rsidRPr="008A26DF" w:rsidRDefault="00EE3B9D" w:rsidP="003F4BCA">
            <w:pPr>
              <w:pStyle w:val="NoSpacing"/>
              <w:rPr>
                <w:sz w:val="20"/>
              </w:rPr>
            </w:pPr>
            <w:r w:rsidRPr="008A26DF">
              <w:rPr>
                <w:sz w:val="20"/>
              </w:rPr>
              <w:t xml:space="preserve">New PaCE </w:t>
            </w:r>
          </w:p>
        </w:tc>
        <w:tc>
          <w:tcPr>
            <w:tcW w:w="805" w:type="pct"/>
            <w:shd w:val="clear" w:color="auto" w:fill="auto"/>
            <w:hideMark/>
          </w:tcPr>
          <w:p w14:paraId="4373F5AA" w14:textId="77777777" w:rsidR="00EE3B9D" w:rsidRPr="008A26DF" w:rsidRDefault="00EE3B9D" w:rsidP="003F4BCA">
            <w:pPr>
              <w:pStyle w:val="NoSpacing"/>
              <w:jc w:val="right"/>
              <w:rPr>
                <w:sz w:val="20"/>
              </w:rPr>
            </w:pPr>
            <w:r w:rsidRPr="008A26DF">
              <w:rPr>
                <w:sz w:val="20"/>
              </w:rPr>
              <w:t>450</w:t>
            </w:r>
          </w:p>
        </w:tc>
        <w:tc>
          <w:tcPr>
            <w:tcW w:w="805" w:type="pct"/>
            <w:shd w:val="clear" w:color="auto" w:fill="auto"/>
            <w:hideMark/>
          </w:tcPr>
          <w:p w14:paraId="52A46155" w14:textId="77777777" w:rsidR="00EE3B9D" w:rsidRPr="008A26DF" w:rsidRDefault="00EE3B9D" w:rsidP="003F4BCA">
            <w:pPr>
              <w:pStyle w:val="NoSpacing"/>
              <w:jc w:val="right"/>
              <w:rPr>
                <w:sz w:val="20"/>
              </w:rPr>
            </w:pPr>
            <w:r w:rsidRPr="008A26DF">
              <w:rPr>
                <w:sz w:val="20"/>
              </w:rPr>
              <w:t>465</w:t>
            </w:r>
          </w:p>
        </w:tc>
        <w:tc>
          <w:tcPr>
            <w:tcW w:w="805" w:type="pct"/>
            <w:shd w:val="clear" w:color="auto" w:fill="auto"/>
            <w:hideMark/>
          </w:tcPr>
          <w:p w14:paraId="0736ED46" w14:textId="77777777" w:rsidR="00EE3B9D" w:rsidRPr="008A26DF" w:rsidRDefault="00EE3B9D" w:rsidP="003F4BCA">
            <w:pPr>
              <w:pStyle w:val="NoSpacing"/>
              <w:jc w:val="right"/>
              <w:rPr>
                <w:sz w:val="20"/>
              </w:rPr>
            </w:pPr>
            <w:r w:rsidRPr="008A26DF">
              <w:rPr>
                <w:sz w:val="20"/>
              </w:rPr>
              <w:t>480</w:t>
            </w:r>
          </w:p>
        </w:tc>
        <w:tc>
          <w:tcPr>
            <w:tcW w:w="806" w:type="pct"/>
            <w:shd w:val="clear" w:color="auto" w:fill="auto"/>
            <w:hideMark/>
          </w:tcPr>
          <w:p w14:paraId="61393F6A" w14:textId="77777777" w:rsidR="00EE3B9D" w:rsidRPr="008A26DF" w:rsidRDefault="00EE3B9D" w:rsidP="003F4BCA">
            <w:pPr>
              <w:pStyle w:val="NoSpacing"/>
              <w:jc w:val="right"/>
              <w:rPr>
                <w:sz w:val="20"/>
              </w:rPr>
            </w:pPr>
            <w:r w:rsidRPr="008A26DF">
              <w:rPr>
                <w:sz w:val="20"/>
              </w:rPr>
              <w:t>500</w:t>
            </w:r>
          </w:p>
        </w:tc>
      </w:tr>
      <w:tr w:rsidR="00EE3B9D" w:rsidRPr="008A26DF" w14:paraId="17801BB9" w14:textId="77777777" w:rsidTr="008A26DF">
        <w:trPr>
          <w:trHeight w:val="20"/>
        </w:trPr>
        <w:tc>
          <w:tcPr>
            <w:tcW w:w="1778" w:type="pct"/>
            <w:shd w:val="clear" w:color="auto" w:fill="auto"/>
            <w:vAlign w:val="bottom"/>
            <w:hideMark/>
          </w:tcPr>
          <w:p w14:paraId="54F5F356" w14:textId="77777777" w:rsidR="00EE3B9D" w:rsidRPr="008A26DF" w:rsidRDefault="00EE3B9D" w:rsidP="003F4BCA">
            <w:pPr>
              <w:pStyle w:val="NoSpacing"/>
              <w:rPr>
                <w:sz w:val="20"/>
              </w:rPr>
            </w:pPr>
            <w:r w:rsidRPr="008A26DF">
              <w:rPr>
                <w:sz w:val="20"/>
              </w:rPr>
              <w:t>New Transfer &amp; FTIC (non-PaCE)</w:t>
            </w:r>
          </w:p>
        </w:tc>
        <w:tc>
          <w:tcPr>
            <w:tcW w:w="805" w:type="pct"/>
            <w:shd w:val="clear" w:color="auto" w:fill="auto"/>
            <w:hideMark/>
          </w:tcPr>
          <w:p w14:paraId="7A8510D1" w14:textId="77777777" w:rsidR="00EE3B9D" w:rsidRPr="008A26DF" w:rsidRDefault="00EE3B9D" w:rsidP="003F4BCA">
            <w:pPr>
              <w:pStyle w:val="NoSpacing"/>
              <w:jc w:val="right"/>
              <w:rPr>
                <w:sz w:val="20"/>
              </w:rPr>
            </w:pPr>
            <w:r w:rsidRPr="008A26DF">
              <w:rPr>
                <w:sz w:val="20"/>
              </w:rPr>
              <w:t>820</w:t>
            </w:r>
          </w:p>
        </w:tc>
        <w:tc>
          <w:tcPr>
            <w:tcW w:w="805" w:type="pct"/>
            <w:shd w:val="clear" w:color="auto" w:fill="auto"/>
            <w:hideMark/>
          </w:tcPr>
          <w:p w14:paraId="5DE31550" w14:textId="77777777" w:rsidR="00EE3B9D" w:rsidRPr="008A26DF" w:rsidRDefault="00EE3B9D" w:rsidP="003F4BCA">
            <w:pPr>
              <w:pStyle w:val="NoSpacing"/>
              <w:jc w:val="right"/>
              <w:rPr>
                <w:sz w:val="20"/>
              </w:rPr>
            </w:pPr>
            <w:r w:rsidRPr="008A26DF">
              <w:rPr>
                <w:sz w:val="20"/>
              </w:rPr>
              <w:t>1,260</w:t>
            </w:r>
          </w:p>
        </w:tc>
        <w:tc>
          <w:tcPr>
            <w:tcW w:w="805" w:type="pct"/>
            <w:shd w:val="clear" w:color="auto" w:fill="auto"/>
            <w:hideMark/>
          </w:tcPr>
          <w:p w14:paraId="6BB593C6" w14:textId="77777777" w:rsidR="00EE3B9D" w:rsidRPr="008A26DF" w:rsidRDefault="00EE3B9D" w:rsidP="003F4BCA">
            <w:pPr>
              <w:pStyle w:val="NoSpacing"/>
              <w:jc w:val="right"/>
              <w:rPr>
                <w:sz w:val="20"/>
              </w:rPr>
            </w:pPr>
            <w:r w:rsidRPr="008A26DF">
              <w:rPr>
                <w:sz w:val="20"/>
              </w:rPr>
              <w:t>1,840</w:t>
            </w:r>
          </w:p>
        </w:tc>
        <w:tc>
          <w:tcPr>
            <w:tcW w:w="806" w:type="pct"/>
            <w:shd w:val="clear" w:color="auto" w:fill="auto"/>
            <w:hideMark/>
          </w:tcPr>
          <w:p w14:paraId="2FF2FA7B" w14:textId="77777777" w:rsidR="00EE3B9D" w:rsidRPr="008A26DF" w:rsidRDefault="00EE3B9D" w:rsidP="003F4BCA">
            <w:pPr>
              <w:pStyle w:val="NoSpacing"/>
              <w:jc w:val="right"/>
              <w:rPr>
                <w:sz w:val="20"/>
              </w:rPr>
            </w:pPr>
            <w:r w:rsidRPr="008A26DF">
              <w:rPr>
                <w:sz w:val="20"/>
              </w:rPr>
              <w:t>2,580</w:t>
            </w:r>
          </w:p>
        </w:tc>
      </w:tr>
      <w:tr w:rsidR="00EE3B9D" w:rsidRPr="008A26DF" w14:paraId="4DCC81CD" w14:textId="77777777" w:rsidTr="008A26DF">
        <w:trPr>
          <w:trHeight w:val="20"/>
        </w:trPr>
        <w:tc>
          <w:tcPr>
            <w:tcW w:w="1778" w:type="pct"/>
            <w:shd w:val="clear" w:color="auto" w:fill="FFF2CC" w:themeFill="accent4" w:themeFillTint="33"/>
            <w:noWrap/>
            <w:hideMark/>
          </w:tcPr>
          <w:p w14:paraId="28B45649" w14:textId="77777777" w:rsidR="00EE3B9D" w:rsidRPr="008A26DF" w:rsidRDefault="00EE3B9D" w:rsidP="003F4BCA">
            <w:pPr>
              <w:pStyle w:val="NoSpacing"/>
              <w:rPr>
                <w:sz w:val="20"/>
              </w:rPr>
            </w:pPr>
            <w:r w:rsidRPr="008A26DF">
              <w:rPr>
                <w:sz w:val="20"/>
              </w:rPr>
              <w:t>New Headcount Subtotal</w:t>
            </w:r>
          </w:p>
        </w:tc>
        <w:tc>
          <w:tcPr>
            <w:tcW w:w="805" w:type="pct"/>
            <w:shd w:val="clear" w:color="auto" w:fill="FFF2CC" w:themeFill="accent4" w:themeFillTint="33"/>
            <w:noWrap/>
            <w:hideMark/>
          </w:tcPr>
          <w:p w14:paraId="295EEC56" w14:textId="77777777" w:rsidR="00EE3B9D" w:rsidRPr="008A26DF" w:rsidRDefault="00EE3B9D" w:rsidP="003F4BCA">
            <w:pPr>
              <w:pStyle w:val="NoSpacing"/>
              <w:jc w:val="right"/>
              <w:rPr>
                <w:sz w:val="20"/>
              </w:rPr>
            </w:pPr>
            <w:r w:rsidRPr="008A26DF">
              <w:rPr>
                <w:sz w:val="20"/>
              </w:rPr>
              <w:t>1,270</w:t>
            </w:r>
          </w:p>
        </w:tc>
        <w:tc>
          <w:tcPr>
            <w:tcW w:w="805" w:type="pct"/>
            <w:shd w:val="clear" w:color="auto" w:fill="FFF2CC" w:themeFill="accent4" w:themeFillTint="33"/>
            <w:noWrap/>
            <w:hideMark/>
          </w:tcPr>
          <w:p w14:paraId="399D7376" w14:textId="77777777" w:rsidR="00EE3B9D" w:rsidRPr="008A26DF" w:rsidRDefault="00EE3B9D" w:rsidP="003F4BCA">
            <w:pPr>
              <w:pStyle w:val="NoSpacing"/>
              <w:jc w:val="right"/>
              <w:rPr>
                <w:sz w:val="20"/>
              </w:rPr>
            </w:pPr>
            <w:r w:rsidRPr="008A26DF">
              <w:rPr>
                <w:sz w:val="20"/>
              </w:rPr>
              <w:t>1,725</w:t>
            </w:r>
          </w:p>
        </w:tc>
        <w:tc>
          <w:tcPr>
            <w:tcW w:w="805" w:type="pct"/>
            <w:shd w:val="clear" w:color="auto" w:fill="FFF2CC" w:themeFill="accent4" w:themeFillTint="33"/>
            <w:noWrap/>
            <w:hideMark/>
          </w:tcPr>
          <w:p w14:paraId="686355FF" w14:textId="77777777" w:rsidR="00EE3B9D" w:rsidRPr="008A26DF" w:rsidRDefault="00EE3B9D" w:rsidP="003F4BCA">
            <w:pPr>
              <w:pStyle w:val="NoSpacing"/>
              <w:jc w:val="right"/>
              <w:rPr>
                <w:sz w:val="20"/>
              </w:rPr>
            </w:pPr>
            <w:r w:rsidRPr="008A26DF">
              <w:rPr>
                <w:sz w:val="20"/>
              </w:rPr>
              <w:t>2,320</w:t>
            </w:r>
          </w:p>
        </w:tc>
        <w:tc>
          <w:tcPr>
            <w:tcW w:w="806" w:type="pct"/>
            <w:shd w:val="clear" w:color="auto" w:fill="FFF2CC" w:themeFill="accent4" w:themeFillTint="33"/>
            <w:noWrap/>
            <w:hideMark/>
          </w:tcPr>
          <w:p w14:paraId="45E71990" w14:textId="77777777" w:rsidR="00EE3B9D" w:rsidRPr="008A26DF" w:rsidRDefault="00EE3B9D" w:rsidP="003F4BCA">
            <w:pPr>
              <w:pStyle w:val="NoSpacing"/>
              <w:jc w:val="right"/>
              <w:rPr>
                <w:sz w:val="20"/>
              </w:rPr>
            </w:pPr>
            <w:r w:rsidRPr="008A26DF">
              <w:rPr>
                <w:sz w:val="20"/>
              </w:rPr>
              <w:t>3,080</w:t>
            </w:r>
          </w:p>
        </w:tc>
      </w:tr>
      <w:tr w:rsidR="00EE3B9D" w:rsidRPr="008A26DF" w14:paraId="7F290445" w14:textId="77777777" w:rsidTr="008A26DF">
        <w:trPr>
          <w:trHeight w:val="20"/>
        </w:trPr>
        <w:tc>
          <w:tcPr>
            <w:tcW w:w="1778" w:type="pct"/>
            <w:shd w:val="clear" w:color="auto" w:fill="FFF2CC" w:themeFill="accent4" w:themeFillTint="33"/>
            <w:noWrap/>
            <w:vAlign w:val="bottom"/>
            <w:hideMark/>
          </w:tcPr>
          <w:p w14:paraId="399C832B" w14:textId="77777777" w:rsidR="00EE3B9D" w:rsidRPr="008A26DF" w:rsidRDefault="00EE3B9D" w:rsidP="003F4BCA">
            <w:pPr>
              <w:pStyle w:val="NoSpacing"/>
              <w:rPr>
                <w:sz w:val="20"/>
              </w:rPr>
            </w:pPr>
            <w:r w:rsidRPr="008A26DF">
              <w:rPr>
                <w:sz w:val="20"/>
              </w:rPr>
              <w:t>Continuing Headcount Subtotal</w:t>
            </w:r>
          </w:p>
        </w:tc>
        <w:tc>
          <w:tcPr>
            <w:tcW w:w="805" w:type="pct"/>
            <w:shd w:val="clear" w:color="auto" w:fill="FFF2CC" w:themeFill="accent4" w:themeFillTint="33"/>
            <w:noWrap/>
            <w:hideMark/>
          </w:tcPr>
          <w:p w14:paraId="4460DF77" w14:textId="77777777" w:rsidR="00EE3B9D" w:rsidRPr="008A26DF" w:rsidRDefault="00EE3B9D" w:rsidP="003F4BCA">
            <w:pPr>
              <w:pStyle w:val="NoSpacing"/>
              <w:jc w:val="right"/>
              <w:rPr>
                <w:sz w:val="20"/>
              </w:rPr>
            </w:pPr>
            <w:r w:rsidRPr="008A26DF">
              <w:rPr>
                <w:sz w:val="20"/>
              </w:rPr>
              <w:t>1,534</w:t>
            </w:r>
          </w:p>
        </w:tc>
        <w:tc>
          <w:tcPr>
            <w:tcW w:w="805" w:type="pct"/>
            <w:shd w:val="clear" w:color="auto" w:fill="FFF2CC" w:themeFill="accent4" w:themeFillTint="33"/>
            <w:noWrap/>
            <w:hideMark/>
          </w:tcPr>
          <w:p w14:paraId="53699FB6" w14:textId="77777777" w:rsidR="00EE3B9D" w:rsidRPr="008A26DF" w:rsidRDefault="00EE3B9D" w:rsidP="003F4BCA">
            <w:pPr>
              <w:pStyle w:val="NoSpacing"/>
              <w:jc w:val="right"/>
              <w:rPr>
                <w:sz w:val="20"/>
              </w:rPr>
            </w:pPr>
            <w:r w:rsidRPr="008A26DF">
              <w:rPr>
                <w:sz w:val="20"/>
              </w:rPr>
              <w:t>1,963</w:t>
            </w:r>
          </w:p>
        </w:tc>
        <w:tc>
          <w:tcPr>
            <w:tcW w:w="805" w:type="pct"/>
            <w:shd w:val="clear" w:color="auto" w:fill="FFF2CC" w:themeFill="accent4" w:themeFillTint="33"/>
            <w:noWrap/>
            <w:hideMark/>
          </w:tcPr>
          <w:p w14:paraId="1620EDE6" w14:textId="77777777" w:rsidR="00EE3B9D" w:rsidRPr="008A26DF" w:rsidRDefault="00EE3B9D" w:rsidP="003F4BCA">
            <w:pPr>
              <w:pStyle w:val="NoSpacing"/>
              <w:jc w:val="right"/>
              <w:rPr>
                <w:sz w:val="20"/>
              </w:rPr>
            </w:pPr>
            <w:r w:rsidRPr="008A26DF">
              <w:rPr>
                <w:sz w:val="20"/>
              </w:rPr>
              <w:t>2,581</w:t>
            </w:r>
          </w:p>
        </w:tc>
        <w:tc>
          <w:tcPr>
            <w:tcW w:w="806" w:type="pct"/>
            <w:shd w:val="clear" w:color="auto" w:fill="FFF2CC" w:themeFill="accent4" w:themeFillTint="33"/>
            <w:noWrap/>
            <w:hideMark/>
          </w:tcPr>
          <w:p w14:paraId="08534FCC" w14:textId="77777777" w:rsidR="00EE3B9D" w:rsidRPr="008A26DF" w:rsidRDefault="00EE3B9D" w:rsidP="003F4BCA">
            <w:pPr>
              <w:pStyle w:val="NoSpacing"/>
              <w:jc w:val="right"/>
              <w:rPr>
                <w:sz w:val="20"/>
              </w:rPr>
            </w:pPr>
            <w:r w:rsidRPr="008A26DF">
              <w:rPr>
                <w:sz w:val="20"/>
              </w:rPr>
              <w:t>3,431</w:t>
            </w:r>
          </w:p>
        </w:tc>
      </w:tr>
      <w:tr w:rsidR="00EE3B9D" w:rsidRPr="008A26DF" w14:paraId="1CA1F5BB" w14:textId="77777777" w:rsidTr="008A26DF">
        <w:trPr>
          <w:trHeight w:val="20"/>
        </w:trPr>
        <w:tc>
          <w:tcPr>
            <w:tcW w:w="1778" w:type="pct"/>
            <w:shd w:val="clear" w:color="auto" w:fill="FFD966" w:themeFill="accent4" w:themeFillTint="99"/>
            <w:noWrap/>
            <w:vAlign w:val="bottom"/>
            <w:hideMark/>
          </w:tcPr>
          <w:p w14:paraId="6395CFFD" w14:textId="77777777" w:rsidR="00EE3B9D" w:rsidRPr="008A26DF" w:rsidRDefault="00EE3B9D" w:rsidP="003F4BCA">
            <w:pPr>
              <w:pStyle w:val="NoSpacing"/>
              <w:rPr>
                <w:b/>
                <w:sz w:val="20"/>
              </w:rPr>
            </w:pPr>
            <w:r w:rsidRPr="008A26DF">
              <w:rPr>
                <w:b/>
                <w:sz w:val="20"/>
              </w:rPr>
              <w:t>New &amp; Continuing Headcount Total</w:t>
            </w:r>
          </w:p>
        </w:tc>
        <w:tc>
          <w:tcPr>
            <w:tcW w:w="805" w:type="pct"/>
            <w:shd w:val="clear" w:color="auto" w:fill="FFD966" w:themeFill="accent4" w:themeFillTint="99"/>
            <w:noWrap/>
            <w:hideMark/>
          </w:tcPr>
          <w:p w14:paraId="0558FFBF" w14:textId="77777777" w:rsidR="00EE3B9D" w:rsidRPr="008A26DF" w:rsidRDefault="00EE3B9D" w:rsidP="003F4BCA">
            <w:pPr>
              <w:pStyle w:val="NoSpacing"/>
              <w:jc w:val="right"/>
              <w:rPr>
                <w:sz w:val="20"/>
              </w:rPr>
            </w:pPr>
            <w:r w:rsidRPr="008A26DF">
              <w:rPr>
                <w:sz w:val="20"/>
              </w:rPr>
              <w:t>2,804</w:t>
            </w:r>
          </w:p>
        </w:tc>
        <w:tc>
          <w:tcPr>
            <w:tcW w:w="805" w:type="pct"/>
            <w:shd w:val="clear" w:color="auto" w:fill="FFD966" w:themeFill="accent4" w:themeFillTint="99"/>
            <w:noWrap/>
            <w:hideMark/>
          </w:tcPr>
          <w:p w14:paraId="4257E5E7" w14:textId="77777777" w:rsidR="00EE3B9D" w:rsidRPr="008A26DF" w:rsidRDefault="00EE3B9D" w:rsidP="003F4BCA">
            <w:pPr>
              <w:pStyle w:val="NoSpacing"/>
              <w:jc w:val="right"/>
              <w:rPr>
                <w:sz w:val="20"/>
              </w:rPr>
            </w:pPr>
            <w:r w:rsidRPr="008A26DF">
              <w:rPr>
                <w:sz w:val="20"/>
              </w:rPr>
              <w:t>3,688</w:t>
            </w:r>
          </w:p>
        </w:tc>
        <w:tc>
          <w:tcPr>
            <w:tcW w:w="805" w:type="pct"/>
            <w:shd w:val="clear" w:color="auto" w:fill="FFD966" w:themeFill="accent4" w:themeFillTint="99"/>
            <w:noWrap/>
            <w:hideMark/>
          </w:tcPr>
          <w:p w14:paraId="411BAC81" w14:textId="77777777" w:rsidR="00EE3B9D" w:rsidRPr="008A26DF" w:rsidRDefault="00EE3B9D" w:rsidP="003F4BCA">
            <w:pPr>
              <w:pStyle w:val="NoSpacing"/>
              <w:jc w:val="right"/>
              <w:rPr>
                <w:sz w:val="20"/>
              </w:rPr>
            </w:pPr>
            <w:r w:rsidRPr="008A26DF">
              <w:rPr>
                <w:sz w:val="20"/>
              </w:rPr>
              <w:t>4,901</w:t>
            </w:r>
          </w:p>
        </w:tc>
        <w:tc>
          <w:tcPr>
            <w:tcW w:w="806" w:type="pct"/>
            <w:shd w:val="clear" w:color="auto" w:fill="FFD966" w:themeFill="accent4" w:themeFillTint="99"/>
            <w:noWrap/>
            <w:hideMark/>
          </w:tcPr>
          <w:p w14:paraId="5DB5A5AE" w14:textId="77777777" w:rsidR="00EE3B9D" w:rsidRPr="008A26DF" w:rsidRDefault="00EE3B9D" w:rsidP="003F4BCA">
            <w:pPr>
              <w:pStyle w:val="NoSpacing"/>
              <w:jc w:val="right"/>
              <w:rPr>
                <w:sz w:val="20"/>
              </w:rPr>
            </w:pPr>
            <w:r w:rsidRPr="008A26DF">
              <w:rPr>
                <w:sz w:val="20"/>
              </w:rPr>
              <w:t>6,511</w:t>
            </w:r>
          </w:p>
        </w:tc>
      </w:tr>
      <w:tr w:rsidR="00EE3B9D" w:rsidRPr="008A26DF" w14:paraId="226A7853" w14:textId="77777777" w:rsidTr="008A26DF">
        <w:trPr>
          <w:trHeight w:val="20"/>
        </w:trPr>
        <w:tc>
          <w:tcPr>
            <w:tcW w:w="1778" w:type="pct"/>
            <w:shd w:val="clear" w:color="auto" w:fill="auto"/>
            <w:noWrap/>
            <w:vAlign w:val="bottom"/>
          </w:tcPr>
          <w:p w14:paraId="0C5CC188" w14:textId="77777777" w:rsidR="00EE3B9D" w:rsidRPr="008A26DF" w:rsidRDefault="00EE3B9D" w:rsidP="003F4BCA">
            <w:pPr>
              <w:pStyle w:val="NoSpacing"/>
              <w:rPr>
                <w:sz w:val="20"/>
              </w:rPr>
            </w:pPr>
            <w:r w:rsidRPr="008A26DF">
              <w:rPr>
                <w:sz w:val="20"/>
              </w:rPr>
              <w:t xml:space="preserve"> </w:t>
            </w:r>
          </w:p>
        </w:tc>
        <w:tc>
          <w:tcPr>
            <w:tcW w:w="805" w:type="pct"/>
            <w:shd w:val="clear" w:color="auto" w:fill="auto"/>
            <w:noWrap/>
            <w:vAlign w:val="bottom"/>
          </w:tcPr>
          <w:p w14:paraId="5D793387" w14:textId="77777777" w:rsidR="00EE3B9D" w:rsidRPr="008A26DF" w:rsidRDefault="00EE3B9D" w:rsidP="003F4BCA">
            <w:pPr>
              <w:pStyle w:val="NoSpacing"/>
              <w:jc w:val="right"/>
              <w:rPr>
                <w:sz w:val="20"/>
              </w:rPr>
            </w:pPr>
          </w:p>
        </w:tc>
        <w:tc>
          <w:tcPr>
            <w:tcW w:w="805" w:type="pct"/>
            <w:shd w:val="clear" w:color="auto" w:fill="auto"/>
            <w:noWrap/>
            <w:vAlign w:val="bottom"/>
          </w:tcPr>
          <w:p w14:paraId="0DBAB9EE" w14:textId="77777777" w:rsidR="00EE3B9D" w:rsidRPr="008A26DF" w:rsidRDefault="00EE3B9D" w:rsidP="003F4BCA">
            <w:pPr>
              <w:pStyle w:val="NoSpacing"/>
              <w:jc w:val="right"/>
              <w:rPr>
                <w:sz w:val="20"/>
              </w:rPr>
            </w:pPr>
          </w:p>
        </w:tc>
        <w:tc>
          <w:tcPr>
            <w:tcW w:w="805" w:type="pct"/>
            <w:shd w:val="clear" w:color="auto" w:fill="auto"/>
            <w:noWrap/>
            <w:vAlign w:val="bottom"/>
          </w:tcPr>
          <w:p w14:paraId="4F7BAAEA" w14:textId="77777777" w:rsidR="00EE3B9D" w:rsidRPr="008A26DF" w:rsidRDefault="00EE3B9D" w:rsidP="003F4BCA">
            <w:pPr>
              <w:pStyle w:val="NoSpacing"/>
              <w:jc w:val="right"/>
              <w:rPr>
                <w:sz w:val="20"/>
              </w:rPr>
            </w:pPr>
          </w:p>
        </w:tc>
        <w:tc>
          <w:tcPr>
            <w:tcW w:w="806" w:type="pct"/>
            <w:shd w:val="clear" w:color="auto" w:fill="auto"/>
            <w:noWrap/>
            <w:vAlign w:val="bottom"/>
          </w:tcPr>
          <w:p w14:paraId="5658A979" w14:textId="77777777" w:rsidR="00EE3B9D" w:rsidRPr="008A26DF" w:rsidRDefault="00EE3B9D" w:rsidP="003F4BCA">
            <w:pPr>
              <w:pStyle w:val="NoSpacing"/>
              <w:jc w:val="right"/>
              <w:rPr>
                <w:sz w:val="20"/>
              </w:rPr>
            </w:pPr>
          </w:p>
        </w:tc>
      </w:tr>
      <w:tr w:rsidR="00EE3B9D" w:rsidRPr="008A26DF" w14:paraId="484BF821" w14:textId="77777777" w:rsidTr="008A26DF">
        <w:trPr>
          <w:trHeight w:val="20"/>
        </w:trPr>
        <w:tc>
          <w:tcPr>
            <w:tcW w:w="1778" w:type="pct"/>
            <w:shd w:val="clear" w:color="auto" w:fill="auto"/>
            <w:noWrap/>
            <w:vAlign w:val="center"/>
            <w:hideMark/>
          </w:tcPr>
          <w:p w14:paraId="6996DB2C" w14:textId="77777777" w:rsidR="00EE3B9D" w:rsidRPr="008A26DF" w:rsidRDefault="00EE3B9D" w:rsidP="003F4BCA">
            <w:pPr>
              <w:pStyle w:val="NoSpacing"/>
              <w:rPr>
                <w:sz w:val="20"/>
              </w:rPr>
            </w:pPr>
            <w:r w:rsidRPr="008A26DF">
              <w:rPr>
                <w:sz w:val="20"/>
              </w:rPr>
              <w:t>% In State of New &amp; Continuing</w:t>
            </w:r>
          </w:p>
        </w:tc>
        <w:tc>
          <w:tcPr>
            <w:tcW w:w="805" w:type="pct"/>
            <w:shd w:val="clear" w:color="auto" w:fill="auto"/>
            <w:noWrap/>
            <w:hideMark/>
          </w:tcPr>
          <w:p w14:paraId="5B630AB6" w14:textId="77777777" w:rsidR="00EE3B9D" w:rsidRPr="008A26DF" w:rsidRDefault="00EE3B9D" w:rsidP="003F4BCA">
            <w:pPr>
              <w:pStyle w:val="NoSpacing"/>
              <w:jc w:val="right"/>
              <w:rPr>
                <w:sz w:val="20"/>
              </w:rPr>
            </w:pPr>
            <w:r w:rsidRPr="008A26DF">
              <w:rPr>
                <w:sz w:val="20"/>
              </w:rPr>
              <w:t>92.0%</w:t>
            </w:r>
          </w:p>
        </w:tc>
        <w:tc>
          <w:tcPr>
            <w:tcW w:w="805" w:type="pct"/>
            <w:shd w:val="clear" w:color="auto" w:fill="auto"/>
            <w:noWrap/>
            <w:hideMark/>
          </w:tcPr>
          <w:p w14:paraId="019EDF42" w14:textId="77777777" w:rsidR="00EE3B9D" w:rsidRPr="008A26DF" w:rsidRDefault="00EE3B9D" w:rsidP="003F4BCA">
            <w:pPr>
              <w:pStyle w:val="NoSpacing"/>
              <w:jc w:val="right"/>
              <w:rPr>
                <w:sz w:val="20"/>
              </w:rPr>
            </w:pPr>
            <w:r w:rsidRPr="008A26DF">
              <w:rPr>
                <w:sz w:val="20"/>
              </w:rPr>
              <w:t>91.0%</w:t>
            </w:r>
          </w:p>
        </w:tc>
        <w:tc>
          <w:tcPr>
            <w:tcW w:w="805" w:type="pct"/>
            <w:shd w:val="clear" w:color="auto" w:fill="auto"/>
            <w:noWrap/>
            <w:hideMark/>
          </w:tcPr>
          <w:p w14:paraId="46E7931C" w14:textId="77777777" w:rsidR="00EE3B9D" w:rsidRPr="008A26DF" w:rsidRDefault="00EE3B9D" w:rsidP="003F4BCA">
            <w:pPr>
              <w:pStyle w:val="NoSpacing"/>
              <w:jc w:val="right"/>
              <w:rPr>
                <w:sz w:val="20"/>
              </w:rPr>
            </w:pPr>
            <w:r w:rsidRPr="008A26DF">
              <w:rPr>
                <w:sz w:val="20"/>
              </w:rPr>
              <w:t>90.0%</w:t>
            </w:r>
          </w:p>
        </w:tc>
        <w:tc>
          <w:tcPr>
            <w:tcW w:w="806" w:type="pct"/>
            <w:shd w:val="clear" w:color="auto" w:fill="auto"/>
            <w:noWrap/>
            <w:hideMark/>
          </w:tcPr>
          <w:p w14:paraId="3D03727D" w14:textId="77777777" w:rsidR="00EE3B9D" w:rsidRPr="008A26DF" w:rsidRDefault="00EE3B9D" w:rsidP="003F4BCA">
            <w:pPr>
              <w:pStyle w:val="NoSpacing"/>
              <w:jc w:val="right"/>
              <w:rPr>
                <w:sz w:val="20"/>
              </w:rPr>
            </w:pPr>
            <w:r w:rsidRPr="008A26DF">
              <w:rPr>
                <w:sz w:val="20"/>
              </w:rPr>
              <w:t>89.0%</w:t>
            </w:r>
          </w:p>
        </w:tc>
      </w:tr>
      <w:tr w:rsidR="00EE3B9D" w:rsidRPr="008A26DF" w14:paraId="587610B6" w14:textId="77777777" w:rsidTr="008A26DF">
        <w:trPr>
          <w:trHeight w:val="20"/>
        </w:trPr>
        <w:tc>
          <w:tcPr>
            <w:tcW w:w="1778" w:type="pct"/>
            <w:shd w:val="clear" w:color="auto" w:fill="auto"/>
            <w:noWrap/>
            <w:vAlign w:val="center"/>
            <w:hideMark/>
          </w:tcPr>
          <w:p w14:paraId="257AF836" w14:textId="77777777" w:rsidR="00EE3B9D" w:rsidRPr="008A26DF" w:rsidRDefault="00EE3B9D" w:rsidP="003F4BCA">
            <w:pPr>
              <w:pStyle w:val="NoSpacing"/>
              <w:rPr>
                <w:sz w:val="20"/>
              </w:rPr>
            </w:pPr>
            <w:r w:rsidRPr="008A26DF">
              <w:rPr>
                <w:sz w:val="20"/>
              </w:rPr>
              <w:t>Student Credit Hour In State</w:t>
            </w:r>
          </w:p>
        </w:tc>
        <w:tc>
          <w:tcPr>
            <w:tcW w:w="805" w:type="pct"/>
            <w:shd w:val="clear" w:color="auto" w:fill="auto"/>
            <w:noWrap/>
            <w:hideMark/>
          </w:tcPr>
          <w:p w14:paraId="7990EA82" w14:textId="77777777" w:rsidR="00EE3B9D" w:rsidRPr="008A26DF" w:rsidRDefault="00EE3B9D" w:rsidP="003F4BCA">
            <w:pPr>
              <w:pStyle w:val="NoSpacing"/>
              <w:jc w:val="right"/>
              <w:rPr>
                <w:sz w:val="20"/>
              </w:rPr>
            </w:pPr>
            <w:r w:rsidRPr="008A26DF">
              <w:rPr>
                <w:sz w:val="20"/>
              </w:rPr>
              <w:t>44,443</w:t>
            </w:r>
          </w:p>
        </w:tc>
        <w:tc>
          <w:tcPr>
            <w:tcW w:w="805" w:type="pct"/>
            <w:shd w:val="clear" w:color="auto" w:fill="auto"/>
            <w:noWrap/>
            <w:hideMark/>
          </w:tcPr>
          <w:p w14:paraId="47817496" w14:textId="77777777" w:rsidR="00EE3B9D" w:rsidRPr="008A26DF" w:rsidRDefault="00EE3B9D" w:rsidP="003F4BCA">
            <w:pPr>
              <w:pStyle w:val="NoSpacing"/>
              <w:jc w:val="right"/>
              <w:rPr>
                <w:sz w:val="20"/>
              </w:rPr>
            </w:pPr>
            <w:r w:rsidRPr="008A26DF">
              <w:rPr>
                <w:sz w:val="20"/>
              </w:rPr>
              <w:t>57,819</w:t>
            </w:r>
          </w:p>
        </w:tc>
        <w:tc>
          <w:tcPr>
            <w:tcW w:w="805" w:type="pct"/>
            <w:shd w:val="clear" w:color="auto" w:fill="auto"/>
            <w:noWrap/>
            <w:hideMark/>
          </w:tcPr>
          <w:p w14:paraId="4C6285F8" w14:textId="77777777" w:rsidR="00EE3B9D" w:rsidRPr="008A26DF" w:rsidRDefault="00EE3B9D" w:rsidP="003F4BCA">
            <w:pPr>
              <w:pStyle w:val="NoSpacing"/>
              <w:jc w:val="right"/>
              <w:rPr>
                <w:sz w:val="20"/>
              </w:rPr>
            </w:pPr>
            <w:r w:rsidRPr="008A26DF">
              <w:rPr>
                <w:sz w:val="20"/>
              </w:rPr>
              <w:t>76,005</w:t>
            </w:r>
          </w:p>
        </w:tc>
        <w:tc>
          <w:tcPr>
            <w:tcW w:w="806" w:type="pct"/>
            <w:shd w:val="clear" w:color="auto" w:fill="auto"/>
            <w:noWrap/>
            <w:hideMark/>
          </w:tcPr>
          <w:p w14:paraId="7ABA4F03" w14:textId="77777777" w:rsidR="00EE3B9D" w:rsidRPr="008A26DF" w:rsidRDefault="00EE3B9D" w:rsidP="003F4BCA">
            <w:pPr>
              <w:pStyle w:val="NoSpacing"/>
              <w:jc w:val="right"/>
              <w:rPr>
                <w:sz w:val="20"/>
              </w:rPr>
            </w:pPr>
            <w:r w:rsidRPr="008A26DF">
              <w:rPr>
                <w:sz w:val="20"/>
              </w:rPr>
              <w:t>99,843</w:t>
            </w:r>
          </w:p>
        </w:tc>
      </w:tr>
      <w:tr w:rsidR="00EE3B9D" w:rsidRPr="008A26DF" w14:paraId="36C535E2" w14:textId="77777777" w:rsidTr="008A26DF">
        <w:trPr>
          <w:trHeight w:val="20"/>
        </w:trPr>
        <w:tc>
          <w:tcPr>
            <w:tcW w:w="1778" w:type="pct"/>
            <w:shd w:val="clear" w:color="auto" w:fill="auto"/>
            <w:noWrap/>
            <w:vAlign w:val="center"/>
            <w:hideMark/>
          </w:tcPr>
          <w:p w14:paraId="446C023D" w14:textId="77777777" w:rsidR="00EE3B9D" w:rsidRPr="008A26DF" w:rsidRDefault="00EE3B9D" w:rsidP="003F4BCA">
            <w:pPr>
              <w:pStyle w:val="NoSpacing"/>
              <w:rPr>
                <w:sz w:val="20"/>
              </w:rPr>
            </w:pPr>
            <w:r w:rsidRPr="008A26DF">
              <w:rPr>
                <w:sz w:val="20"/>
              </w:rPr>
              <w:t>Student Credit Hour Out of State</w:t>
            </w:r>
          </w:p>
        </w:tc>
        <w:tc>
          <w:tcPr>
            <w:tcW w:w="805" w:type="pct"/>
            <w:shd w:val="clear" w:color="auto" w:fill="auto"/>
            <w:noWrap/>
            <w:hideMark/>
          </w:tcPr>
          <w:p w14:paraId="7E9EBC1E" w14:textId="77777777" w:rsidR="00EE3B9D" w:rsidRPr="008A26DF" w:rsidRDefault="00EE3B9D" w:rsidP="003F4BCA">
            <w:pPr>
              <w:pStyle w:val="NoSpacing"/>
              <w:jc w:val="right"/>
              <w:rPr>
                <w:sz w:val="20"/>
              </w:rPr>
            </w:pPr>
            <w:r w:rsidRPr="008A26DF">
              <w:rPr>
                <w:sz w:val="20"/>
              </w:rPr>
              <w:t>3,865</w:t>
            </w:r>
          </w:p>
        </w:tc>
        <w:tc>
          <w:tcPr>
            <w:tcW w:w="805" w:type="pct"/>
            <w:shd w:val="clear" w:color="auto" w:fill="auto"/>
            <w:noWrap/>
            <w:hideMark/>
          </w:tcPr>
          <w:p w14:paraId="2AA3C290" w14:textId="77777777" w:rsidR="00EE3B9D" w:rsidRPr="008A26DF" w:rsidRDefault="00EE3B9D" w:rsidP="003F4BCA">
            <w:pPr>
              <w:pStyle w:val="NoSpacing"/>
              <w:jc w:val="right"/>
              <w:rPr>
                <w:sz w:val="20"/>
              </w:rPr>
            </w:pPr>
            <w:r w:rsidRPr="008A26DF">
              <w:rPr>
                <w:sz w:val="20"/>
              </w:rPr>
              <w:t>5,718</w:t>
            </w:r>
          </w:p>
        </w:tc>
        <w:tc>
          <w:tcPr>
            <w:tcW w:w="805" w:type="pct"/>
            <w:shd w:val="clear" w:color="auto" w:fill="auto"/>
            <w:noWrap/>
            <w:hideMark/>
          </w:tcPr>
          <w:p w14:paraId="676BC4EF" w14:textId="77777777" w:rsidR="00EE3B9D" w:rsidRPr="008A26DF" w:rsidRDefault="00EE3B9D" w:rsidP="003F4BCA">
            <w:pPr>
              <w:pStyle w:val="NoSpacing"/>
              <w:jc w:val="right"/>
              <w:rPr>
                <w:sz w:val="20"/>
              </w:rPr>
            </w:pPr>
            <w:r w:rsidRPr="008A26DF">
              <w:rPr>
                <w:sz w:val="20"/>
              </w:rPr>
              <w:t>8,445</w:t>
            </w:r>
          </w:p>
        </w:tc>
        <w:tc>
          <w:tcPr>
            <w:tcW w:w="806" w:type="pct"/>
            <w:shd w:val="clear" w:color="auto" w:fill="auto"/>
            <w:noWrap/>
            <w:hideMark/>
          </w:tcPr>
          <w:p w14:paraId="2C6EEEA0" w14:textId="77777777" w:rsidR="00EE3B9D" w:rsidRPr="008A26DF" w:rsidRDefault="00EE3B9D" w:rsidP="003F4BCA">
            <w:pPr>
              <w:pStyle w:val="NoSpacing"/>
              <w:jc w:val="right"/>
              <w:rPr>
                <w:sz w:val="20"/>
              </w:rPr>
            </w:pPr>
            <w:r w:rsidRPr="008A26DF">
              <w:rPr>
                <w:sz w:val="20"/>
              </w:rPr>
              <w:t>12,340</w:t>
            </w:r>
          </w:p>
        </w:tc>
      </w:tr>
      <w:tr w:rsidR="00EE3B9D" w:rsidRPr="008A26DF" w14:paraId="38C9C7F9" w14:textId="77777777" w:rsidTr="008A26DF">
        <w:trPr>
          <w:trHeight w:val="20"/>
        </w:trPr>
        <w:tc>
          <w:tcPr>
            <w:tcW w:w="1778" w:type="pct"/>
            <w:shd w:val="clear" w:color="auto" w:fill="FFD966" w:themeFill="accent4" w:themeFillTint="99"/>
            <w:noWrap/>
            <w:vAlign w:val="center"/>
            <w:hideMark/>
          </w:tcPr>
          <w:p w14:paraId="46B0FD10" w14:textId="77777777" w:rsidR="00EE3B9D" w:rsidRPr="008A26DF" w:rsidRDefault="00EE3B9D" w:rsidP="003F4BCA">
            <w:pPr>
              <w:pStyle w:val="NoSpacing"/>
              <w:rPr>
                <w:b/>
                <w:bCs/>
                <w:sz w:val="20"/>
              </w:rPr>
            </w:pPr>
            <w:r w:rsidRPr="008A26DF">
              <w:rPr>
                <w:b/>
                <w:sz w:val="20"/>
              </w:rPr>
              <w:t>Student Credit Hour</w:t>
            </w:r>
            <w:r w:rsidRPr="008A26DF">
              <w:rPr>
                <w:b/>
                <w:bCs/>
                <w:sz w:val="20"/>
              </w:rPr>
              <w:t xml:space="preserve"> Total</w:t>
            </w:r>
          </w:p>
        </w:tc>
        <w:tc>
          <w:tcPr>
            <w:tcW w:w="805" w:type="pct"/>
            <w:shd w:val="clear" w:color="auto" w:fill="FFD966" w:themeFill="accent4" w:themeFillTint="99"/>
            <w:noWrap/>
            <w:hideMark/>
          </w:tcPr>
          <w:p w14:paraId="0EE9201D" w14:textId="77777777" w:rsidR="00EE3B9D" w:rsidRPr="008A26DF" w:rsidRDefault="00EE3B9D" w:rsidP="003F4BCA">
            <w:pPr>
              <w:pStyle w:val="NoSpacing"/>
              <w:jc w:val="right"/>
              <w:rPr>
                <w:sz w:val="20"/>
              </w:rPr>
            </w:pPr>
            <w:r w:rsidRPr="008A26DF">
              <w:rPr>
                <w:sz w:val="20"/>
              </w:rPr>
              <w:t>48,308</w:t>
            </w:r>
          </w:p>
        </w:tc>
        <w:tc>
          <w:tcPr>
            <w:tcW w:w="805" w:type="pct"/>
            <w:shd w:val="clear" w:color="auto" w:fill="FFD966" w:themeFill="accent4" w:themeFillTint="99"/>
            <w:noWrap/>
            <w:hideMark/>
          </w:tcPr>
          <w:p w14:paraId="2081AF16" w14:textId="77777777" w:rsidR="00EE3B9D" w:rsidRPr="008A26DF" w:rsidRDefault="00EE3B9D" w:rsidP="003F4BCA">
            <w:pPr>
              <w:pStyle w:val="NoSpacing"/>
              <w:jc w:val="right"/>
              <w:rPr>
                <w:sz w:val="20"/>
              </w:rPr>
            </w:pPr>
            <w:r w:rsidRPr="008A26DF">
              <w:rPr>
                <w:sz w:val="20"/>
              </w:rPr>
              <w:t>63,537</w:t>
            </w:r>
          </w:p>
        </w:tc>
        <w:tc>
          <w:tcPr>
            <w:tcW w:w="805" w:type="pct"/>
            <w:shd w:val="clear" w:color="auto" w:fill="FFD966" w:themeFill="accent4" w:themeFillTint="99"/>
            <w:noWrap/>
            <w:hideMark/>
          </w:tcPr>
          <w:p w14:paraId="2A269B76" w14:textId="77777777" w:rsidR="00EE3B9D" w:rsidRPr="008A26DF" w:rsidRDefault="00EE3B9D" w:rsidP="003F4BCA">
            <w:pPr>
              <w:pStyle w:val="NoSpacing"/>
              <w:jc w:val="right"/>
              <w:rPr>
                <w:sz w:val="20"/>
              </w:rPr>
            </w:pPr>
            <w:r w:rsidRPr="008A26DF">
              <w:rPr>
                <w:sz w:val="20"/>
              </w:rPr>
              <w:t>84,450</w:t>
            </w:r>
          </w:p>
        </w:tc>
        <w:tc>
          <w:tcPr>
            <w:tcW w:w="806" w:type="pct"/>
            <w:shd w:val="clear" w:color="auto" w:fill="FFD966" w:themeFill="accent4" w:themeFillTint="99"/>
            <w:noWrap/>
            <w:hideMark/>
          </w:tcPr>
          <w:p w14:paraId="2626C7C0" w14:textId="77777777" w:rsidR="00EE3B9D" w:rsidRPr="008A26DF" w:rsidRDefault="00EE3B9D" w:rsidP="003F4BCA">
            <w:pPr>
              <w:pStyle w:val="NoSpacing"/>
              <w:jc w:val="right"/>
              <w:rPr>
                <w:sz w:val="20"/>
              </w:rPr>
            </w:pPr>
            <w:r w:rsidRPr="008A26DF">
              <w:rPr>
                <w:sz w:val="20"/>
              </w:rPr>
              <w:t>112,183</w:t>
            </w:r>
          </w:p>
        </w:tc>
      </w:tr>
      <w:tr w:rsidR="00EE3B9D" w:rsidRPr="008A26DF" w14:paraId="37B2AD6A" w14:textId="77777777" w:rsidTr="008A26DF">
        <w:trPr>
          <w:trHeight w:val="20"/>
        </w:trPr>
        <w:tc>
          <w:tcPr>
            <w:tcW w:w="1778" w:type="pct"/>
            <w:shd w:val="clear" w:color="auto" w:fill="auto"/>
            <w:noWrap/>
            <w:vAlign w:val="center"/>
          </w:tcPr>
          <w:p w14:paraId="30097047" w14:textId="77777777" w:rsidR="00EE3B9D" w:rsidRPr="008A26DF" w:rsidRDefault="00EE3B9D" w:rsidP="003F4BCA">
            <w:pPr>
              <w:pStyle w:val="NoSpacing"/>
              <w:rPr>
                <w:sz w:val="20"/>
              </w:rPr>
            </w:pPr>
            <w:r w:rsidRPr="008A26DF">
              <w:rPr>
                <w:sz w:val="20"/>
              </w:rPr>
              <w:t> </w:t>
            </w:r>
          </w:p>
        </w:tc>
        <w:tc>
          <w:tcPr>
            <w:tcW w:w="805" w:type="pct"/>
            <w:shd w:val="clear" w:color="auto" w:fill="auto"/>
            <w:noWrap/>
            <w:vAlign w:val="center"/>
          </w:tcPr>
          <w:p w14:paraId="75251EF1" w14:textId="77777777" w:rsidR="00EE3B9D" w:rsidRPr="008A26DF" w:rsidRDefault="00EE3B9D" w:rsidP="003F4BCA">
            <w:pPr>
              <w:pStyle w:val="NoSpacing"/>
              <w:jc w:val="right"/>
              <w:rPr>
                <w:sz w:val="20"/>
              </w:rPr>
            </w:pPr>
          </w:p>
        </w:tc>
        <w:tc>
          <w:tcPr>
            <w:tcW w:w="805" w:type="pct"/>
            <w:shd w:val="clear" w:color="auto" w:fill="auto"/>
            <w:noWrap/>
            <w:vAlign w:val="center"/>
          </w:tcPr>
          <w:p w14:paraId="2C210ADF" w14:textId="77777777" w:rsidR="00EE3B9D" w:rsidRPr="008A26DF" w:rsidRDefault="00EE3B9D" w:rsidP="003F4BCA">
            <w:pPr>
              <w:pStyle w:val="NoSpacing"/>
              <w:jc w:val="right"/>
              <w:rPr>
                <w:sz w:val="20"/>
                <w:szCs w:val="20"/>
              </w:rPr>
            </w:pPr>
          </w:p>
        </w:tc>
        <w:tc>
          <w:tcPr>
            <w:tcW w:w="805" w:type="pct"/>
            <w:shd w:val="clear" w:color="auto" w:fill="auto"/>
            <w:noWrap/>
            <w:vAlign w:val="center"/>
          </w:tcPr>
          <w:p w14:paraId="0AAAE8A7" w14:textId="77777777" w:rsidR="00EE3B9D" w:rsidRPr="008A26DF" w:rsidRDefault="00EE3B9D" w:rsidP="003F4BCA">
            <w:pPr>
              <w:pStyle w:val="NoSpacing"/>
              <w:jc w:val="right"/>
              <w:rPr>
                <w:sz w:val="20"/>
                <w:szCs w:val="20"/>
              </w:rPr>
            </w:pPr>
          </w:p>
        </w:tc>
        <w:tc>
          <w:tcPr>
            <w:tcW w:w="806" w:type="pct"/>
            <w:shd w:val="clear" w:color="auto" w:fill="auto"/>
            <w:noWrap/>
            <w:vAlign w:val="center"/>
          </w:tcPr>
          <w:p w14:paraId="59AC07C3" w14:textId="77777777" w:rsidR="00EE3B9D" w:rsidRPr="008A26DF" w:rsidRDefault="00EE3B9D" w:rsidP="003F4BCA">
            <w:pPr>
              <w:pStyle w:val="NoSpacing"/>
              <w:jc w:val="right"/>
              <w:rPr>
                <w:sz w:val="20"/>
              </w:rPr>
            </w:pPr>
            <w:r w:rsidRPr="008A26DF">
              <w:rPr>
                <w:sz w:val="20"/>
              </w:rPr>
              <w:t> </w:t>
            </w:r>
          </w:p>
        </w:tc>
      </w:tr>
      <w:tr w:rsidR="00EE3B9D" w:rsidRPr="008A26DF" w14:paraId="235A4275" w14:textId="77777777" w:rsidTr="008A26DF">
        <w:trPr>
          <w:trHeight w:val="20"/>
        </w:trPr>
        <w:tc>
          <w:tcPr>
            <w:tcW w:w="1778" w:type="pct"/>
            <w:shd w:val="clear" w:color="auto" w:fill="auto"/>
            <w:noWrap/>
            <w:vAlign w:val="center"/>
            <w:hideMark/>
          </w:tcPr>
          <w:p w14:paraId="5CB392B9" w14:textId="77777777" w:rsidR="00EE3B9D" w:rsidRPr="008A26DF" w:rsidRDefault="00EE3B9D" w:rsidP="003F4BCA">
            <w:pPr>
              <w:pStyle w:val="NoSpacing"/>
              <w:rPr>
                <w:sz w:val="20"/>
              </w:rPr>
            </w:pPr>
            <w:r w:rsidRPr="008A26DF">
              <w:rPr>
                <w:sz w:val="20"/>
              </w:rPr>
              <w:t>Tuition In State</w:t>
            </w:r>
          </w:p>
        </w:tc>
        <w:tc>
          <w:tcPr>
            <w:tcW w:w="805" w:type="pct"/>
            <w:shd w:val="clear" w:color="auto" w:fill="auto"/>
            <w:noWrap/>
            <w:hideMark/>
          </w:tcPr>
          <w:p w14:paraId="7010AD87" w14:textId="77777777" w:rsidR="00EE3B9D" w:rsidRPr="008A26DF" w:rsidRDefault="00EE3B9D" w:rsidP="003F4BCA">
            <w:pPr>
              <w:pStyle w:val="NoSpacing"/>
              <w:jc w:val="right"/>
              <w:rPr>
                <w:sz w:val="20"/>
              </w:rPr>
            </w:pPr>
            <w:r w:rsidRPr="008A26DF">
              <w:rPr>
                <w:sz w:val="20"/>
              </w:rPr>
              <w:t>$4,888,744.40</w:t>
            </w:r>
          </w:p>
        </w:tc>
        <w:tc>
          <w:tcPr>
            <w:tcW w:w="805" w:type="pct"/>
            <w:shd w:val="clear" w:color="auto" w:fill="auto"/>
            <w:noWrap/>
            <w:hideMark/>
          </w:tcPr>
          <w:p w14:paraId="4ADE0A94" w14:textId="77777777" w:rsidR="00EE3B9D" w:rsidRPr="008A26DF" w:rsidRDefault="00EE3B9D" w:rsidP="003F4BCA">
            <w:pPr>
              <w:pStyle w:val="NoSpacing"/>
              <w:jc w:val="right"/>
              <w:rPr>
                <w:sz w:val="20"/>
              </w:rPr>
            </w:pPr>
            <w:r w:rsidRPr="008A26DF">
              <w:rPr>
                <w:sz w:val="20"/>
              </w:rPr>
              <w:t>$6,360,071.29</w:t>
            </w:r>
          </w:p>
        </w:tc>
        <w:tc>
          <w:tcPr>
            <w:tcW w:w="805" w:type="pct"/>
            <w:shd w:val="clear" w:color="auto" w:fill="auto"/>
            <w:noWrap/>
            <w:hideMark/>
          </w:tcPr>
          <w:p w14:paraId="4348B764" w14:textId="77777777" w:rsidR="00EE3B9D" w:rsidRPr="008A26DF" w:rsidRDefault="00EE3B9D" w:rsidP="003F4BCA">
            <w:pPr>
              <w:pStyle w:val="NoSpacing"/>
              <w:jc w:val="right"/>
              <w:rPr>
                <w:sz w:val="20"/>
              </w:rPr>
            </w:pPr>
            <w:r w:rsidRPr="008A26DF">
              <w:rPr>
                <w:sz w:val="20"/>
              </w:rPr>
              <w:t>$8,360,512.68</w:t>
            </w:r>
          </w:p>
        </w:tc>
        <w:tc>
          <w:tcPr>
            <w:tcW w:w="806" w:type="pct"/>
            <w:shd w:val="clear" w:color="auto" w:fill="auto"/>
            <w:noWrap/>
            <w:hideMark/>
          </w:tcPr>
          <w:p w14:paraId="57B0592F" w14:textId="77777777" w:rsidR="00EE3B9D" w:rsidRPr="008A26DF" w:rsidRDefault="00EE3B9D" w:rsidP="003F4BCA">
            <w:pPr>
              <w:pStyle w:val="NoSpacing"/>
              <w:jc w:val="right"/>
              <w:rPr>
                <w:sz w:val="20"/>
              </w:rPr>
            </w:pPr>
            <w:r w:rsidRPr="008A26DF">
              <w:rPr>
                <w:sz w:val="20"/>
              </w:rPr>
              <w:t>$10,982,729.02</w:t>
            </w:r>
          </w:p>
        </w:tc>
      </w:tr>
      <w:tr w:rsidR="00EE3B9D" w:rsidRPr="008A26DF" w14:paraId="4C8061B4" w14:textId="77777777" w:rsidTr="008A26DF">
        <w:trPr>
          <w:trHeight w:val="20"/>
        </w:trPr>
        <w:tc>
          <w:tcPr>
            <w:tcW w:w="1778" w:type="pct"/>
            <w:shd w:val="clear" w:color="auto" w:fill="auto"/>
            <w:noWrap/>
            <w:vAlign w:val="center"/>
            <w:hideMark/>
          </w:tcPr>
          <w:p w14:paraId="58B448EF" w14:textId="77777777" w:rsidR="00EE3B9D" w:rsidRPr="008A26DF" w:rsidRDefault="00EE3B9D" w:rsidP="003F4BCA">
            <w:pPr>
              <w:pStyle w:val="NoSpacing"/>
              <w:rPr>
                <w:sz w:val="20"/>
              </w:rPr>
            </w:pPr>
            <w:r w:rsidRPr="008A26DF">
              <w:rPr>
                <w:sz w:val="20"/>
              </w:rPr>
              <w:t>Tuition Out of State</w:t>
            </w:r>
          </w:p>
        </w:tc>
        <w:tc>
          <w:tcPr>
            <w:tcW w:w="805" w:type="pct"/>
            <w:shd w:val="clear" w:color="auto" w:fill="auto"/>
            <w:noWrap/>
            <w:hideMark/>
          </w:tcPr>
          <w:p w14:paraId="175EEF24" w14:textId="77777777" w:rsidR="00EE3B9D" w:rsidRPr="008A26DF" w:rsidRDefault="00EE3B9D" w:rsidP="003F4BCA">
            <w:pPr>
              <w:pStyle w:val="NoSpacing"/>
              <w:jc w:val="right"/>
              <w:rPr>
                <w:sz w:val="20"/>
              </w:rPr>
            </w:pPr>
            <w:r w:rsidRPr="008A26DF">
              <w:rPr>
                <w:sz w:val="20"/>
              </w:rPr>
              <w:t>$1,468,555.63</w:t>
            </w:r>
          </w:p>
        </w:tc>
        <w:tc>
          <w:tcPr>
            <w:tcW w:w="805" w:type="pct"/>
            <w:shd w:val="clear" w:color="auto" w:fill="auto"/>
            <w:noWrap/>
            <w:hideMark/>
          </w:tcPr>
          <w:p w14:paraId="3008E44A" w14:textId="77777777" w:rsidR="00EE3B9D" w:rsidRPr="008A26DF" w:rsidRDefault="00EE3B9D" w:rsidP="003F4BCA">
            <w:pPr>
              <w:pStyle w:val="NoSpacing"/>
              <w:jc w:val="right"/>
              <w:rPr>
                <w:sz w:val="20"/>
              </w:rPr>
            </w:pPr>
            <w:r w:rsidRPr="008A26DF">
              <w:rPr>
                <w:sz w:val="20"/>
              </w:rPr>
              <w:t>$2,172,971.41</w:t>
            </w:r>
          </w:p>
        </w:tc>
        <w:tc>
          <w:tcPr>
            <w:tcW w:w="805" w:type="pct"/>
            <w:shd w:val="clear" w:color="auto" w:fill="auto"/>
            <w:noWrap/>
            <w:hideMark/>
          </w:tcPr>
          <w:p w14:paraId="602AA4CD" w14:textId="77777777" w:rsidR="00EE3B9D" w:rsidRPr="008A26DF" w:rsidRDefault="00EE3B9D" w:rsidP="003F4BCA">
            <w:pPr>
              <w:pStyle w:val="NoSpacing"/>
              <w:jc w:val="right"/>
              <w:rPr>
                <w:sz w:val="20"/>
              </w:rPr>
            </w:pPr>
            <w:r w:rsidRPr="008A26DF">
              <w:rPr>
                <w:sz w:val="20"/>
              </w:rPr>
              <w:t>$3,209,085.67</w:t>
            </w:r>
          </w:p>
        </w:tc>
        <w:tc>
          <w:tcPr>
            <w:tcW w:w="806" w:type="pct"/>
            <w:shd w:val="clear" w:color="auto" w:fill="auto"/>
            <w:noWrap/>
            <w:hideMark/>
          </w:tcPr>
          <w:p w14:paraId="5F0135F8" w14:textId="77777777" w:rsidR="00EE3B9D" w:rsidRPr="008A26DF" w:rsidRDefault="00EE3B9D" w:rsidP="003F4BCA">
            <w:pPr>
              <w:pStyle w:val="NoSpacing"/>
              <w:jc w:val="right"/>
              <w:rPr>
                <w:sz w:val="20"/>
              </w:rPr>
            </w:pPr>
            <w:r w:rsidRPr="008A26DF">
              <w:rPr>
                <w:sz w:val="20"/>
              </w:rPr>
              <w:t>$4,689,255.09</w:t>
            </w:r>
          </w:p>
        </w:tc>
      </w:tr>
      <w:tr w:rsidR="00EE3B9D" w:rsidRPr="008A26DF" w14:paraId="42F3961A" w14:textId="77777777" w:rsidTr="008A26DF">
        <w:trPr>
          <w:trHeight w:val="20"/>
        </w:trPr>
        <w:tc>
          <w:tcPr>
            <w:tcW w:w="1778" w:type="pct"/>
            <w:shd w:val="clear" w:color="auto" w:fill="FFD966" w:themeFill="accent4" w:themeFillTint="99"/>
            <w:noWrap/>
            <w:vAlign w:val="center"/>
            <w:hideMark/>
          </w:tcPr>
          <w:p w14:paraId="743124D5" w14:textId="77777777" w:rsidR="00EE3B9D" w:rsidRPr="008A26DF" w:rsidRDefault="00EE3B9D" w:rsidP="003F4BCA">
            <w:pPr>
              <w:pStyle w:val="NoSpacing"/>
              <w:rPr>
                <w:b/>
                <w:bCs/>
                <w:sz w:val="20"/>
              </w:rPr>
            </w:pPr>
            <w:r w:rsidRPr="008A26DF">
              <w:rPr>
                <w:b/>
                <w:bCs/>
                <w:sz w:val="20"/>
              </w:rPr>
              <w:t>Tuition Total</w:t>
            </w:r>
          </w:p>
        </w:tc>
        <w:tc>
          <w:tcPr>
            <w:tcW w:w="805" w:type="pct"/>
            <w:shd w:val="clear" w:color="auto" w:fill="FFD966" w:themeFill="accent4" w:themeFillTint="99"/>
            <w:noWrap/>
            <w:hideMark/>
          </w:tcPr>
          <w:p w14:paraId="1C5EF58B" w14:textId="77777777" w:rsidR="00EE3B9D" w:rsidRPr="008A26DF" w:rsidRDefault="00EE3B9D" w:rsidP="003F4BCA">
            <w:pPr>
              <w:pStyle w:val="NoSpacing"/>
              <w:jc w:val="right"/>
              <w:rPr>
                <w:sz w:val="20"/>
              </w:rPr>
            </w:pPr>
            <w:r w:rsidRPr="008A26DF">
              <w:rPr>
                <w:sz w:val="20"/>
              </w:rPr>
              <w:t>$6,357,300.03</w:t>
            </w:r>
          </w:p>
        </w:tc>
        <w:tc>
          <w:tcPr>
            <w:tcW w:w="805" w:type="pct"/>
            <w:shd w:val="clear" w:color="auto" w:fill="FFD966" w:themeFill="accent4" w:themeFillTint="99"/>
            <w:noWrap/>
            <w:hideMark/>
          </w:tcPr>
          <w:p w14:paraId="01FE9A36" w14:textId="77777777" w:rsidR="00EE3B9D" w:rsidRPr="008A26DF" w:rsidRDefault="00EE3B9D" w:rsidP="003F4BCA">
            <w:pPr>
              <w:pStyle w:val="NoSpacing"/>
              <w:jc w:val="right"/>
              <w:rPr>
                <w:sz w:val="20"/>
              </w:rPr>
            </w:pPr>
            <w:r w:rsidRPr="008A26DF">
              <w:rPr>
                <w:sz w:val="20"/>
              </w:rPr>
              <w:t>$8,533,042.70</w:t>
            </w:r>
          </w:p>
        </w:tc>
        <w:tc>
          <w:tcPr>
            <w:tcW w:w="805" w:type="pct"/>
            <w:shd w:val="clear" w:color="auto" w:fill="FFD966" w:themeFill="accent4" w:themeFillTint="99"/>
            <w:noWrap/>
            <w:hideMark/>
          </w:tcPr>
          <w:p w14:paraId="1F6EAC63" w14:textId="77777777" w:rsidR="00EE3B9D" w:rsidRPr="008A26DF" w:rsidRDefault="00EE3B9D" w:rsidP="003F4BCA">
            <w:pPr>
              <w:pStyle w:val="NoSpacing"/>
              <w:jc w:val="right"/>
              <w:rPr>
                <w:sz w:val="20"/>
              </w:rPr>
            </w:pPr>
            <w:r w:rsidRPr="008A26DF">
              <w:rPr>
                <w:sz w:val="20"/>
              </w:rPr>
              <w:t>$11,569,598.35</w:t>
            </w:r>
          </w:p>
        </w:tc>
        <w:tc>
          <w:tcPr>
            <w:tcW w:w="806" w:type="pct"/>
            <w:shd w:val="clear" w:color="auto" w:fill="FFD966" w:themeFill="accent4" w:themeFillTint="99"/>
            <w:noWrap/>
            <w:hideMark/>
          </w:tcPr>
          <w:p w14:paraId="73D8103B" w14:textId="77777777" w:rsidR="00EE3B9D" w:rsidRPr="008A26DF" w:rsidRDefault="00EE3B9D" w:rsidP="003F4BCA">
            <w:pPr>
              <w:pStyle w:val="NoSpacing"/>
              <w:jc w:val="right"/>
              <w:rPr>
                <w:sz w:val="20"/>
              </w:rPr>
            </w:pPr>
            <w:r w:rsidRPr="008A26DF">
              <w:rPr>
                <w:sz w:val="20"/>
              </w:rPr>
              <w:t>$15,671,984.11</w:t>
            </w:r>
          </w:p>
        </w:tc>
      </w:tr>
    </w:tbl>
    <w:p w14:paraId="799B9C1C" w14:textId="3E87423D" w:rsidR="002F3AC8" w:rsidRDefault="002F3AC8" w:rsidP="008A26DF">
      <w:pPr>
        <w:pStyle w:val="NoSpacing"/>
      </w:pPr>
    </w:p>
    <w:tbl>
      <w:tblPr>
        <w:tblStyle w:val="TableGridLight"/>
        <w:tblW w:w="10795" w:type="dxa"/>
        <w:tblCellMar>
          <w:top w:w="29" w:type="dxa"/>
          <w:left w:w="58" w:type="dxa"/>
          <w:bottom w:w="29" w:type="dxa"/>
          <w:right w:w="58" w:type="dxa"/>
        </w:tblCellMar>
        <w:tblLook w:val="04A0" w:firstRow="1" w:lastRow="0" w:firstColumn="1" w:lastColumn="0" w:noHBand="0" w:noVBand="1"/>
      </w:tblPr>
      <w:tblGrid>
        <w:gridCol w:w="1075"/>
        <w:gridCol w:w="9720"/>
      </w:tblGrid>
      <w:tr w:rsidR="008A26DF" w:rsidRPr="008A26DF" w14:paraId="400318BE" w14:textId="77777777" w:rsidTr="008A26DF">
        <w:trPr>
          <w:trHeight w:val="20"/>
        </w:trPr>
        <w:tc>
          <w:tcPr>
            <w:tcW w:w="1075" w:type="dxa"/>
            <w:noWrap/>
            <w:hideMark/>
          </w:tcPr>
          <w:p w14:paraId="7364851A" w14:textId="77777777" w:rsidR="008A26DF" w:rsidRPr="008A26DF" w:rsidRDefault="008A26DF" w:rsidP="003D0D05">
            <w:pPr>
              <w:jc w:val="right"/>
              <w:rPr>
                <w:rFonts w:eastAsia="Times New Roman" w:cs="Times New Roman"/>
                <w:color w:val="000000"/>
                <w:sz w:val="18"/>
                <w:szCs w:val="22"/>
              </w:rPr>
            </w:pPr>
            <w:r w:rsidRPr="008A26DF">
              <w:rPr>
                <w:rFonts w:eastAsia="Calibri,Times New Roman" w:cs="Calibri,Times New Roman"/>
                <w:color w:val="000000" w:themeColor="text1"/>
                <w:sz w:val="18"/>
                <w:szCs w:val="22"/>
              </w:rPr>
              <w:t>70%</w:t>
            </w:r>
          </w:p>
        </w:tc>
        <w:tc>
          <w:tcPr>
            <w:tcW w:w="9720" w:type="dxa"/>
            <w:noWrap/>
            <w:hideMark/>
          </w:tcPr>
          <w:p w14:paraId="7253251D" w14:textId="77777777" w:rsidR="008A26DF" w:rsidRPr="008A26DF" w:rsidRDefault="008A26DF" w:rsidP="003D0D05">
            <w:pPr>
              <w:rPr>
                <w:rFonts w:eastAsia="Times New Roman" w:cs="Times New Roman"/>
                <w:color w:val="000000"/>
                <w:sz w:val="18"/>
                <w:szCs w:val="22"/>
              </w:rPr>
            </w:pPr>
            <w:r w:rsidRPr="008A26DF">
              <w:rPr>
                <w:rFonts w:eastAsia="Calibri,Times New Roman" w:cs="Calibri,Times New Roman"/>
                <w:color w:val="000000" w:themeColor="text1"/>
                <w:sz w:val="18"/>
                <w:szCs w:val="22"/>
              </w:rPr>
              <w:t>Continuation rate</w:t>
            </w:r>
          </w:p>
          <w:p w14:paraId="7AC3AE4F" w14:textId="5F56F03C" w:rsidR="008A26DF" w:rsidRPr="008A26DF" w:rsidRDefault="008A26DF" w:rsidP="003D0D05">
            <w:pPr>
              <w:rPr>
                <w:rFonts w:eastAsia="Times New Roman" w:cs="Times New Roman"/>
                <w:color w:val="000000"/>
                <w:sz w:val="18"/>
                <w:szCs w:val="22"/>
              </w:rPr>
            </w:pPr>
            <w:bookmarkStart w:id="0" w:name="_GoBack"/>
            <w:bookmarkEnd w:id="0"/>
            <w:r w:rsidRPr="008A26DF">
              <w:rPr>
                <w:rFonts w:eastAsia="Calibri,Times New Roman" w:cs="Calibri,Times New Roman"/>
                <w:color w:val="000000" w:themeColor="text1"/>
                <w:sz w:val="18"/>
                <w:szCs w:val="18"/>
              </w:rPr>
              <w:t xml:space="preserve">Percentage of prior year students minus graduates and stop-outs. Persistence rate </w:t>
            </w:r>
            <w:r w:rsidRPr="008A26DF">
              <w:rPr>
                <w:rFonts w:eastAsia="Calibri,Times New Roman" w:cs="Calibri,Times New Roman"/>
                <w:color w:val="000000" w:themeColor="text1"/>
                <w:sz w:val="18"/>
                <w:szCs w:val="18"/>
              </w:rPr>
              <w:t xml:space="preserve">for </w:t>
            </w:r>
            <w:r w:rsidRPr="008A26DF">
              <w:rPr>
                <w:rFonts w:eastAsia="Calibri,Times New Roman" w:cs="Calibri,Times New Roman"/>
                <w:color w:val="000000" w:themeColor="text1"/>
                <w:sz w:val="18"/>
                <w:szCs w:val="18"/>
              </w:rPr>
              <w:t xml:space="preserve">fall 2014 to fall 2015 was 75.5%. This continuation rate is derived from this persistence and also takes into account the fact that PaCE students will not continue for their full academic career. In subsequent years we </w:t>
            </w:r>
            <w:r w:rsidRPr="008A26DF">
              <w:rPr>
                <w:rFonts w:eastAsia="Calibri,Times New Roman" w:cs="Calibri,Times New Roman"/>
                <w:color w:val="000000" w:themeColor="text1"/>
                <w:sz w:val="18"/>
                <w:szCs w:val="18"/>
              </w:rPr>
              <w:t>should be able to articulate a</w:t>
            </w:r>
            <w:r w:rsidRPr="008A26DF">
              <w:rPr>
                <w:rFonts w:eastAsia="Calibri,Times New Roman" w:cs="Calibri,Times New Roman"/>
                <w:color w:val="000000" w:themeColor="text1"/>
                <w:sz w:val="18"/>
                <w:szCs w:val="18"/>
              </w:rPr>
              <w:t xml:space="preserve"> more accurate continuation rate that takes into account persistence of fully online students and PaCE students.</w:t>
            </w:r>
          </w:p>
        </w:tc>
      </w:tr>
      <w:tr w:rsidR="008A26DF" w:rsidRPr="008A26DF" w14:paraId="6FF404CA" w14:textId="77777777" w:rsidTr="008A26DF">
        <w:trPr>
          <w:trHeight w:val="20"/>
        </w:trPr>
        <w:tc>
          <w:tcPr>
            <w:tcW w:w="1075" w:type="dxa"/>
            <w:noWrap/>
            <w:hideMark/>
          </w:tcPr>
          <w:p w14:paraId="51D8F73B" w14:textId="77777777" w:rsidR="008A26DF" w:rsidRPr="008A26DF" w:rsidRDefault="008A26DF" w:rsidP="003D0D05">
            <w:pPr>
              <w:jc w:val="right"/>
              <w:rPr>
                <w:rFonts w:eastAsia="Times New Roman" w:cs="Times New Roman"/>
                <w:color w:val="000000"/>
                <w:sz w:val="18"/>
                <w:szCs w:val="22"/>
              </w:rPr>
            </w:pPr>
            <w:r w:rsidRPr="008A26DF">
              <w:rPr>
                <w:rFonts w:eastAsia="Times New Roman" w:cs="Times New Roman"/>
                <w:color w:val="000000"/>
                <w:sz w:val="18"/>
                <w:szCs w:val="22"/>
              </w:rPr>
              <w:t>17.23</w:t>
            </w:r>
          </w:p>
        </w:tc>
        <w:tc>
          <w:tcPr>
            <w:tcW w:w="9720" w:type="dxa"/>
            <w:noWrap/>
            <w:hideMark/>
          </w:tcPr>
          <w:p w14:paraId="0B9173D8" w14:textId="77777777" w:rsidR="008A26DF" w:rsidRPr="008A26DF" w:rsidRDefault="008A26DF" w:rsidP="003D0D05">
            <w:pPr>
              <w:rPr>
                <w:rFonts w:eastAsia="Times New Roman" w:cs="Times New Roman"/>
                <w:color w:val="000000"/>
                <w:sz w:val="18"/>
                <w:szCs w:val="22"/>
              </w:rPr>
            </w:pPr>
            <w:r w:rsidRPr="008A26DF">
              <w:rPr>
                <w:rFonts w:eastAsia="Calibri,Times New Roman" w:cs="Calibri,Times New Roman"/>
                <w:color w:val="000000" w:themeColor="text1"/>
                <w:sz w:val="18"/>
                <w:szCs w:val="22"/>
              </w:rPr>
              <w:t xml:space="preserve">Average number of credits per student per year </w:t>
            </w:r>
          </w:p>
          <w:p w14:paraId="6615DE0A" w14:textId="77777777" w:rsidR="008A26DF" w:rsidRPr="008A26DF" w:rsidRDefault="008A26DF" w:rsidP="003D0D05">
            <w:pPr>
              <w:rPr>
                <w:rFonts w:eastAsia="Times New Roman" w:cs="Times New Roman"/>
                <w:color w:val="000000"/>
                <w:sz w:val="18"/>
                <w:szCs w:val="22"/>
              </w:rPr>
            </w:pPr>
            <w:r w:rsidRPr="008A26DF">
              <w:rPr>
                <w:rFonts w:eastAsia="Calibri,Times New Roman" w:cs="Calibri,Times New Roman"/>
                <w:color w:val="000000" w:themeColor="text1"/>
                <w:sz w:val="18"/>
                <w:szCs w:val="18"/>
              </w:rPr>
              <w:t>based on the number SCH divided by the number of unique students from the 2015-2016 academic year</w:t>
            </w:r>
          </w:p>
        </w:tc>
      </w:tr>
      <w:tr w:rsidR="008A26DF" w:rsidRPr="008A26DF" w14:paraId="4C6FDF4E" w14:textId="77777777" w:rsidTr="008A26DF">
        <w:trPr>
          <w:trHeight w:val="20"/>
        </w:trPr>
        <w:tc>
          <w:tcPr>
            <w:tcW w:w="1075" w:type="dxa"/>
            <w:noWrap/>
            <w:hideMark/>
          </w:tcPr>
          <w:p w14:paraId="7F68AD71" w14:textId="77777777" w:rsidR="008A26DF" w:rsidRPr="008A26DF" w:rsidRDefault="008A26DF" w:rsidP="003D0D05">
            <w:pPr>
              <w:jc w:val="right"/>
              <w:rPr>
                <w:rFonts w:eastAsia="Times New Roman" w:cs="Times New Roman"/>
                <w:color w:val="000000"/>
                <w:sz w:val="18"/>
                <w:szCs w:val="22"/>
              </w:rPr>
            </w:pPr>
            <w:r w:rsidRPr="008A26DF">
              <w:rPr>
                <w:rFonts w:eastAsia="Calibri,Times New Roman" w:cs="Calibri,Times New Roman"/>
                <w:color w:val="000000" w:themeColor="text1"/>
                <w:sz w:val="18"/>
                <w:szCs w:val="22"/>
              </w:rPr>
              <w:t>$110</w:t>
            </w:r>
          </w:p>
        </w:tc>
        <w:tc>
          <w:tcPr>
            <w:tcW w:w="9720" w:type="dxa"/>
            <w:noWrap/>
            <w:hideMark/>
          </w:tcPr>
          <w:p w14:paraId="6DD2D630" w14:textId="77777777" w:rsidR="008A26DF" w:rsidRPr="008A26DF" w:rsidRDefault="008A26DF" w:rsidP="003D0D05">
            <w:pPr>
              <w:rPr>
                <w:rFonts w:eastAsia="Times New Roman" w:cs="Times New Roman"/>
                <w:color w:val="000000"/>
                <w:sz w:val="18"/>
                <w:szCs w:val="22"/>
              </w:rPr>
            </w:pPr>
            <w:r w:rsidRPr="008A26DF">
              <w:rPr>
                <w:rFonts w:eastAsia="Calibri,Times New Roman" w:cs="Calibri,Times New Roman"/>
                <w:color w:val="000000" w:themeColor="text1"/>
                <w:sz w:val="18"/>
                <w:szCs w:val="22"/>
              </w:rPr>
              <w:t>Average in state tuition per credit hour</w:t>
            </w:r>
          </w:p>
        </w:tc>
      </w:tr>
      <w:tr w:rsidR="008A26DF" w:rsidRPr="008A26DF" w14:paraId="1B0B277E" w14:textId="77777777" w:rsidTr="008A26DF">
        <w:trPr>
          <w:trHeight w:val="20"/>
        </w:trPr>
        <w:tc>
          <w:tcPr>
            <w:tcW w:w="1075" w:type="dxa"/>
            <w:noWrap/>
            <w:hideMark/>
          </w:tcPr>
          <w:p w14:paraId="7AD69484" w14:textId="77777777" w:rsidR="008A26DF" w:rsidRPr="008A26DF" w:rsidRDefault="008A26DF" w:rsidP="003D0D05">
            <w:pPr>
              <w:jc w:val="right"/>
              <w:rPr>
                <w:rFonts w:eastAsia="Times New Roman" w:cs="Times New Roman"/>
                <w:color w:val="000000"/>
                <w:sz w:val="18"/>
                <w:szCs w:val="22"/>
              </w:rPr>
            </w:pPr>
            <w:r w:rsidRPr="008A26DF">
              <w:rPr>
                <w:rFonts w:eastAsia="Calibri,Times New Roman" w:cs="Calibri,Times New Roman"/>
                <w:color w:val="000000" w:themeColor="text1"/>
                <w:sz w:val="18"/>
                <w:szCs w:val="22"/>
              </w:rPr>
              <w:t>$380</w:t>
            </w:r>
          </w:p>
        </w:tc>
        <w:tc>
          <w:tcPr>
            <w:tcW w:w="9720" w:type="dxa"/>
            <w:noWrap/>
            <w:hideMark/>
          </w:tcPr>
          <w:p w14:paraId="150C7C59" w14:textId="77777777" w:rsidR="008A26DF" w:rsidRPr="008A26DF" w:rsidRDefault="008A26DF" w:rsidP="003D0D05">
            <w:pPr>
              <w:rPr>
                <w:rFonts w:eastAsia="Times New Roman" w:cs="Times New Roman"/>
                <w:color w:val="000000"/>
                <w:sz w:val="18"/>
                <w:szCs w:val="22"/>
              </w:rPr>
            </w:pPr>
            <w:r w:rsidRPr="008A26DF">
              <w:rPr>
                <w:rFonts w:eastAsia="Calibri,Times New Roman" w:cs="Calibri,Times New Roman"/>
                <w:color w:val="000000" w:themeColor="text1"/>
                <w:sz w:val="18"/>
                <w:szCs w:val="22"/>
              </w:rPr>
              <w:t>Average out of state tuition per credit hour</w:t>
            </w:r>
          </w:p>
        </w:tc>
      </w:tr>
    </w:tbl>
    <w:p w14:paraId="1B67BAA2" w14:textId="394C667C" w:rsidR="00FE598C" w:rsidRDefault="00FE598C" w:rsidP="008A26DF"/>
    <w:sectPr w:rsidR="00FE598C" w:rsidSect="000A13CD">
      <w:type w:val="continuous"/>
      <w:pgSz w:w="12240" w:h="15840" w:code="1"/>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1476" w14:textId="77777777" w:rsidR="00A53A65" w:rsidRDefault="00A53A65" w:rsidP="008C3ACD">
      <w:pPr>
        <w:spacing w:after="0" w:line="240" w:lineRule="auto"/>
      </w:pPr>
      <w:r>
        <w:separator/>
      </w:r>
    </w:p>
  </w:endnote>
  <w:endnote w:type="continuationSeparator" w:id="0">
    <w:p w14:paraId="2E004BAC" w14:textId="77777777" w:rsidR="00A53A65" w:rsidRDefault="00A53A65" w:rsidP="008C3ACD">
      <w:pPr>
        <w:spacing w:after="0" w:line="240" w:lineRule="auto"/>
      </w:pPr>
      <w:r>
        <w:continuationSeparator/>
      </w:r>
    </w:p>
  </w:endnote>
  <w:endnote w:type="continuationNotice" w:id="1">
    <w:p w14:paraId="7E3647ED" w14:textId="77777777" w:rsidR="00A53A65" w:rsidRDefault="00A53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A84B" w14:textId="05921980" w:rsidR="00A53A65" w:rsidRPr="006D3938" w:rsidRDefault="00A53A65" w:rsidP="006D3938">
    <w:pPr>
      <w:pStyle w:val="Footer"/>
      <w:pBdr>
        <w:top w:val="single" w:sz="4" w:space="1" w:color="BFBFBF" w:themeColor="background1" w:themeShade="BF"/>
      </w:pBdr>
      <w:rPr>
        <w:smallCaps/>
        <w:color w:val="A6A6A6" w:themeColor="background1" w:themeShade="A6"/>
        <w:spacing w:val="20"/>
        <w:sz w:val="18"/>
        <w:szCs w:val="18"/>
      </w:rPr>
    </w:pPr>
    <w:r w:rsidRPr="006D3938">
      <w:rPr>
        <w:smallCaps/>
        <w:color w:val="A6A6A6" w:themeColor="background1" w:themeShade="A6"/>
        <w:spacing w:val="20"/>
        <w:sz w:val="18"/>
        <w:szCs w:val="18"/>
      </w:rPr>
      <w:ptab w:relativeTo="margin" w:alignment="center" w:leader="none"/>
    </w:r>
    <w:r w:rsidRPr="006D3938">
      <w:rPr>
        <w:smallCaps/>
        <w:color w:val="A6A6A6" w:themeColor="background1" w:themeShade="A6"/>
        <w:spacing w:val="20"/>
        <w:sz w:val="18"/>
        <w:szCs w:val="18"/>
      </w:rPr>
      <w:ptab w:relativeTo="margin" w:alignment="right" w:leader="none"/>
    </w:r>
    <w:r w:rsidRPr="006D3938">
      <w:rPr>
        <w:smallCaps/>
        <w:color w:val="A6A6A6" w:themeColor="background1" w:themeShade="A6"/>
        <w:spacing w:val="20"/>
        <w:sz w:val="18"/>
        <w:szCs w:val="18"/>
      </w:rPr>
      <w:t xml:space="preserve">Page </w:t>
    </w:r>
    <w:r w:rsidRPr="02195735">
      <w:rPr>
        <w:b/>
        <w:bCs/>
        <w:smallCaps/>
        <w:noProof/>
        <w:color w:val="A6A6A6" w:themeColor="background1" w:themeShade="A6"/>
        <w:spacing w:val="20"/>
        <w:sz w:val="18"/>
        <w:szCs w:val="18"/>
      </w:rPr>
      <w:fldChar w:fldCharType="begin"/>
    </w:r>
    <w:r w:rsidRPr="006D3938">
      <w:rPr>
        <w:b/>
        <w:bCs/>
        <w:smallCaps/>
        <w:color w:val="A6A6A6" w:themeColor="background1" w:themeShade="A6"/>
        <w:spacing w:val="20"/>
        <w:sz w:val="18"/>
        <w:szCs w:val="18"/>
      </w:rPr>
      <w:instrText xml:space="preserve"> PAGE  \* Arabic  \* MERGEFORMAT </w:instrText>
    </w:r>
    <w:r w:rsidRPr="02195735">
      <w:rPr>
        <w:b/>
        <w:bCs/>
        <w:smallCaps/>
        <w:color w:val="A6A6A6" w:themeColor="background1" w:themeShade="A6"/>
        <w:spacing w:val="20"/>
        <w:sz w:val="18"/>
        <w:szCs w:val="18"/>
      </w:rPr>
      <w:fldChar w:fldCharType="separate"/>
    </w:r>
    <w:r w:rsidR="008A26DF">
      <w:rPr>
        <w:b/>
        <w:bCs/>
        <w:smallCaps/>
        <w:noProof/>
        <w:color w:val="A6A6A6" w:themeColor="background1" w:themeShade="A6"/>
        <w:spacing w:val="20"/>
        <w:sz w:val="18"/>
        <w:szCs w:val="18"/>
      </w:rPr>
      <w:t>3</w:t>
    </w:r>
    <w:r w:rsidRPr="02195735">
      <w:rPr>
        <w:b/>
        <w:bCs/>
        <w:smallCaps/>
        <w:noProof/>
        <w:color w:val="A6A6A6" w:themeColor="background1" w:themeShade="A6"/>
        <w:spacing w:val="20"/>
        <w:sz w:val="18"/>
        <w:szCs w:val="18"/>
      </w:rPr>
      <w:fldChar w:fldCharType="end"/>
    </w:r>
    <w:r w:rsidRPr="006D3938">
      <w:rPr>
        <w:smallCaps/>
        <w:color w:val="A6A6A6" w:themeColor="background1" w:themeShade="A6"/>
        <w:spacing w:val="20"/>
        <w:sz w:val="18"/>
        <w:szCs w:val="18"/>
      </w:rPr>
      <w:t xml:space="preserve"> | </w:t>
    </w:r>
    <w:r w:rsidRPr="02195735">
      <w:rPr>
        <w:b/>
        <w:bCs/>
        <w:smallCaps/>
        <w:noProof/>
        <w:color w:val="A6A6A6" w:themeColor="background1" w:themeShade="A6"/>
        <w:spacing w:val="20"/>
        <w:sz w:val="18"/>
        <w:szCs w:val="18"/>
      </w:rPr>
      <w:fldChar w:fldCharType="begin"/>
    </w:r>
    <w:r w:rsidRPr="006D3938">
      <w:rPr>
        <w:b/>
        <w:bCs/>
        <w:smallCaps/>
        <w:color w:val="A6A6A6" w:themeColor="background1" w:themeShade="A6"/>
        <w:spacing w:val="20"/>
        <w:sz w:val="18"/>
        <w:szCs w:val="18"/>
      </w:rPr>
      <w:instrText xml:space="preserve"> NUMPAGES  \* Arabic  \* MERGEFORMAT </w:instrText>
    </w:r>
    <w:r w:rsidRPr="02195735">
      <w:rPr>
        <w:b/>
        <w:bCs/>
        <w:smallCaps/>
        <w:color w:val="A6A6A6" w:themeColor="background1" w:themeShade="A6"/>
        <w:spacing w:val="20"/>
        <w:sz w:val="18"/>
        <w:szCs w:val="18"/>
      </w:rPr>
      <w:fldChar w:fldCharType="separate"/>
    </w:r>
    <w:r w:rsidR="008A26DF">
      <w:rPr>
        <w:b/>
        <w:bCs/>
        <w:smallCaps/>
        <w:noProof/>
        <w:color w:val="A6A6A6" w:themeColor="background1" w:themeShade="A6"/>
        <w:spacing w:val="20"/>
        <w:sz w:val="18"/>
        <w:szCs w:val="18"/>
      </w:rPr>
      <w:t>4</w:t>
    </w:r>
    <w:r w:rsidRPr="02195735">
      <w:rPr>
        <w:b/>
        <w:bCs/>
        <w:smallCaps/>
        <w:noProof/>
        <w:color w:val="A6A6A6" w:themeColor="background1" w:themeShade="A6"/>
        <w:spacing w:val="2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F9C69" w14:textId="77777777" w:rsidR="00A53A65" w:rsidRDefault="00A53A65" w:rsidP="008C3ACD">
      <w:pPr>
        <w:spacing w:after="0" w:line="240" w:lineRule="auto"/>
      </w:pPr>
      <w:r>
        <w:separator/>
      </w:r>
    </w:p>
  </w:footnote>
  <w:footnote w:type="continuationSeparator" w:id="0">
    <w:p w14:paraId="799B801D" w14:textId="77777777" w:rsidR="00A53A65" w:rsidRDefault="00A53A65" w:rsidP="008C3ACD">
      <w:pPr>
        <w:spacing w:after="0" w:line="240" w:lineRule="auto"/>
      </w:pPr>
      <w:r>
        <w:continuationSeparator/>
      </w:r>
    </w:p>
  </w:footnote>
  <w:footnote w:type="continuationNotice" w:id="1">
    <w:p w14:paraId="49323E08" w14:textId="77777777" w:rsidR="00A53A65" w:rsidRDefault="00A53A6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5208"/>
    <w:multiLevelType w:val="hybridMultilevel"/>
    <w:tmpl w:val="5EF2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B51AD"/>
    <w:multiLevelType w:val="hybridMultilevel"/>
    <w:tmpl w:val="5D04E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A4245"/>
    <w:multiLevelType w:val="hybridMultilevel"/>
    <w:tmpl w:val="2E524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83686"/>
    <w:multiLevelType w:val="hybridMultilevel"/>
    <w:tmpl w:val="E02C7FF2"/>
    <w:lvl w:ilvl="0" w:tplc="4A285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76AE"/>
    <w:multiLevelType w:val="hybridMultilevel"/>
    <w:tmpl w:val="E73A540E"/>
    <w:lvl w:ilvl="0" w:tplc="1B2243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F1DA5"/>
    <w:multiLevelType w:val="hybridMultilevel"/>
    <w:tmpl w:val="DFA69F16"/>
    <w:lvl w:ilvl="0" w:tplc="4A285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D12AB"/>
    <w:multiLevelType w:val="hybridMultilevel"/>
    <w:tmpl w:val="289654C2"/>
    <w:lvl w:ilvl="0" w:tplc="08DAE23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4B43"/>
    <w:multiLevelType w:val="hybridMultilevel"/>
    <w:tmpl w:val="153E4E2C"/>
    <w:lvl w:ilvl="0" w:tplc="768403C0">
      <w:start w:val="9"/>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3F97"/>
    <w:multiLevelType w:val="hybridMultilevel"/>
    <w:tmpl w:val="7D92E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651F4D"/>
    <w:multiLevelType w:val="hybridMultilevel"/>
    <w:tmpl w:val="1BEEF3A6"/>
    <w:lvl w:ilvl="0" w:tplc="C98CB4EC">
      <w:start w:val="6"/>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72D54"/>
    <w:multiLevelType w:val="hybridMultilevel"/>
    <w:tmpl w:val="61186CDC"/>
    <w:lvl w:ilvl="0" w:tplc="A67C66D6">
      <w:start w:val="7"/>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41FA4"/>
    <w:multiLevelType w:val="hybridMultilevel"/>
    <w:tmpl w:val="63EA8A3C"/>
    <w:lvl w:ilvl="0" w:tplc="89CE4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A4B44"/>
    <w:multiLevelType w:val="hybridMultilevel"/>
    <w:tmpl w:val="0BB0CCD0"/>
    <w:lvl w:ilvl="0" w:tplc="FBD6F612">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90647"/>
    <w:multiLevelType w:val="hybridMultilevel"/>
    <w:tmpl w:val="16D6623E"/>
    <w:lvl w:ilvl="0" w:tplc="4A285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74E01"/>
    <w:multiLevelType w:val="hybridMultilevel"/>
    <w:tmpl w:val="6966C68E"/>
    <w:lvl w:ilvl="0" w:tplc="7500F548">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4C0523"/>
    <w:multiLevelType w:val="hybridMultilevel"/>
    <w:tmpl w:val="5DB2108E"/>
    <w:lvl w:ilvl="0" w:tplc="07968530">
      <w:start w:val="1"/>
      <w:numFmt w:val="bullet"/>
      <w:lvlText w:val=""/>
      <w:lvlJc w:val="left"/>
      <w:pPr>
        <w:tabs>
          <w:tab w:val="num" w:pos="72"/>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00190"/>
    <w:multiLevelType w:val="multilevel"/>
    <w:tmpl w:val="EF9843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2677475"/>
    <w:multiLevelType w:val="hybridMultilevel"/>
    <w:tmpl w:val="D7F0A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D6E76"/>
    <w:multiLevelType w:val="hybridMultilevel"/>
    <w:tmpl w:val="84981EF4"/>
    <w:lvl w:ilvl="0" w:tplc="4A285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A36AF"/>
    <w:multiLevelType w:val="hybridMultilevel"/>
    <w:tmpl w:val="21787580"/>
    <w:lvl w:ilvl="0" w:tplc="08DAE23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E6236"/>
    <w:multiLevelType w:val="hybridMultilevel"/>
    <w:tmpl w:val="289654C2"/>
    <w:lvl w:ilvl="0" w:tplc="08DAE23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F7831"/>
    <w:multiLevelType w:val="hybridMultilevel"/>
    <w:tmpl w:val="93A6BDA2"/>
    <w:lvl w:ilvl="0" w:tplc="08DAE23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
  </w:num>
  <w:num w:numId="22">
    <w:abstractNumId w:val="0"/>
  </w:num>
  <w:num w:numId="23">
    <w:abstractNumId w:val="8"/>
  </w:num>
  <w:num w:numId="24">
    <w:abstractNumId w:val="14"/>
  </w:num>
  <w:num w:numId="25">
    <w:abstractNumId w:val="15"/>
  </w:num>
  <w:num w:numId="26">
    <w:abstractNumId w:val="12"/>
  </w:num>
  <w:num w:numId="27">
    <w:abstractNumId w:val="4"/>
  </w:num>
  <w:num w:numId="28">
    <w:abstractNumId w:val="17"/>
  </w:num>
  <w:num w:numId="29">
    <w:abstractNumId w:val="19"/>
  </w:num>
  <w:num w:numId="30">
    <w:abstractNumId w:val="20"/>
  </w:num>
  <w:num w:numId="31">
    <w:abstractNumId w:val="21"/>
  </w:num>
  <w:num w:numId="32">
    <w:abstractNumId w:val="6"/>
  </w:num>
  <w:num w:numId="33">
    <w:abstractNumId w:val="7"/>
  </w:num>
  <w:num w:numId="34">
    <w:abstractNumId w:val="9"/>
  </w:num>
  <w:num w:numId="35">
    <w:abstractNumId w:val="18"/>
  </w:num>
  <w:num w:numId="36">
    <w:abstractNumId w:val="5"/>
  </w:num>
  <w:num w:numId="37">
    <w:abstractNumId w:val="3"/>
  </w:num>
  <w:num w:numId="38">
    <w:abstractNumId w:val="13"/>
  </w:num>
  <w:num w:numId="39">
    <w:abstractNumId w:val="2"/>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31"/>
    <w:rsid w:val="000502AB"/>
    <w:rsid w:val="000633F2"/>
    <w:rsid w:val="00067AEB"/>
    <w:rsid w:val="000A13CD"/>
    <w:rsid w:val="000A4E31"/>
    <w:rsid w:val="000A7171"/>
    <w:rsid w:val="000E1C90"/>
    <w:rsid w:val="000E3F58"/>
    <w:rsid w:val="001305F4"/>
    <w:rsid w:val="001318F9"/>
    <w:rsid w:val="001A07F3"/>
    <w:rsid w:val="001C3F09"/>
    <w:rsid w:val="001C6CA3"/>
    <w:rsid w:val="001D70DB"/>
    <w:rsid w:val="001E17E0"/>
    <w:rsid w:val="001E4861"/>
    <w:rsid w:val="0023745D"/>
    <w:rsid w:val="00252AA2"/>
    <w:rsid w:val="00257D0F"/>
    <w:rsid w:val="002B60B0"/>
    <w:rsid w:val="002D5222"/>
    <w:rsid w:val="002F3AC8"/>
    <w:rsid w:val="002F4921"/>
    <w:rsid w:val="00314FB9"/>
    <w:rsid w:val="00353097"/>
    <w:rsid w:val="003673E5"/>
    <w:rsid w:val="00373551"/>
    <w:rsid w:val="003859C5"/>
    <w:rsid w:val="00385B91"/>
    <w:rsid w:val="00397E98"/>
    <w:rsid w:val="003D0191"/>
    <w:rsid w:val="004314CF"/>
    <w:rsid w:val="00481D59"/>
    <w:rsid w:val="004A1922"/>
    <w:rsid w:val="005354B2"/>
    <w:rsid w:val="00561454"/>
    <w:rsid w:val="00562493"/>
    <w:rsid w:val="00570C85"/>
    <w:rsid w:val="005B5356"/>
    <w:rsid w:val="005C348C"/>
    <w:rsid w:val="005C61FE"/>
    <w:rsid w:val="005F62CF"/>
    <w:rsid w:val="00642319"/>
    <w:rsid w:val="00650589"/>
    <w:rsid w:val="00665C60"/>
    <w:rsid w:val="00675D1A"/>
    <w:rsid w:val="006A2F4A"/>
    <w:rsid w:val="006D3938"/>
    <w:rsid w:val="006E1FFA"/>
    <w:rsid w:val="007611FD"/>
    <w:rsid w:val="007919EF"/>
    <w:rsid w:val="007D142A"/>
    <w:rsid w:val="007F2B29"/>
    <w:rsid w:val="00820505"/>
    <w:rsid w:val="008A26DF"/>
    <w:rsid w:val="008C1AE9"/>
    <w:rsid w:val="008C3ACD"/>
    <w:rsid w:val="008C43F4"/>
    <w:rsid w:val="008F4158"/>
    <w:rsid w:val="00924715"/>
    <w:rsid w:val="00976B22"/>
    <w:rsid w:val="00986610"/>
    <w:rsid w:val="009A4B5B"/>
    <w:rsid w:val="009C6E38"/>
    <w:rsid w:val="00A13A43"/>
    <w:rsid w:val="00A41F92"/>
    <w:rsid w:val="00A53A65"/>
    <w:rsid w:val="00A87945"/>
    <w:rsid w:val="00AC2119"/>
    <w:rsid w:val="00AE0F0C"/>
    <w:rsid w:val="00AE3B52"/>
    <w:rsid w:val="00AF33F2"/>
    <w:rsid w:val="00B02FF3"/>
    <w:rsid w:val="00B071ED"/>
    <w:rsid w:val="00BA6851"/>
    <w:rsid w:val="00BD09F5"/>
    <w:rsid w:val="00C02580"/>
    <w:rsid w:val="00C753B6"/>
    <w:rsid w:val="00C941DC"/>
    <w:rsid w:val="00CE5D96"/>
    <w:rsid w:val="00D04441"/>
    <w:rsid w:val="00D13479"/>
    <w:rsid w:val="00D13723"/>
    <w:rsid w:val="00D3709C"/>
    <w:rsid w:val="00D86777"/>
    <w:rsid w:val="00DB6FB7"/>
    <w:rsid w:val="00DB7C2F"/>
    <w:rsid w:val="00DD412B"/>
    <w:rsid w:val="00DE4C4C"/>
    <w:rsid w:val="00DF206B"/>
    <w:rsid w:val="00E15783"/>
    <w:rsid w:val="00E21A62"/>
    <w:rsid w:val="00E24627"/>
    <w:rsid w:val="00E71D79"/>
    <w:rsid w:val="00E8380F"/>
    <w:rsid w:val="00E85EF9"/>
    <w:rsid w:val="00EB3318"/>
    <w:rsid w:val="00EB397A"/>
    <w:rsid w:val="00EE3B9D"/>
    <w:rsid w:val="00EE4262"/>
    <w:rsid w:val="00F03013"/>
    <w:rsid w:val="00F16E28"/>
    <w:rsid w:val="00F33F24"/>
    <w:rsid w:val="00F4605D"/>
    <w:rsid w:val="00F656D6"/>
    <w:rsid w:val="00F81F50"/>
    <w:rsid w:val="00F90D26"/>
    <w:rsid w:val="00FC7EDF"/>
    <w:rsid w:val="00FE4F49"/>
    <w:rsid w:val="00FE598C"/>
    <w:rsid w:val="00FF4A27"/>
    <w:rsid w:val="01BD1AF7"/>
    <w:rsid w:val="02195735"/>
    <w:rsid w:val="09AC355E"/>
    <w:rsid w:val="0B736FAA"/>
    <w:rsid w:val="29BEA7ED"/>
    <w:rsid w:val="2C96F04A"/>
    <w:rsid w:val="55EE2C6B"/>
    <w:rsid w:val="589059E0"/>
    <w:rsid w:val="7EA5F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0D339E"/>
  <w15:chartTrackingRefBased/>
  <w15:docId w15:val="{9F3CE164-854E-414E-A4CD-9EB81CB7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15"/>
  </w:style>
  <w:style w:type="paragraph" w:styleId="Heading1">
    <w:name w:val="heading 1"/>
    <w:basedOn w:val="Normal"/>
    <w:next w:val="Normal"/>
    <w:link w:val="Heading1Char"/>
    <w:uiPriority w:val="9"/>
    <w:qFormat/>
    <w:rsid w:val="0092471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4"/>
      <w:szCs w:val="40"/>
    </w:rPr>
  </w:style>
  <w:style w:type="paragraph" w:styleId="Heading2">
    <w:name w:val="heading 2"/>
    <w:basedOn w:val="Normal"/>
    <w:next w:val="Normal"/>
    <w:link w:val="Heading2Char"/>
    <w:uiPriority w:val="9"/>
    <w:unhideWhenUsed/>
    <w:qFormat/>
    <w:rsid w:val="00924715"/>
    <w:pPr>
      <w:keepNext/>
      <w:keepLines/>
      <w:pBdr>
        <w:bottom w:val="single" w:sz="4" w:space="1" w:color="D9D9D9" w:themeColor="background1" w:themeShade="D9"/>
      </w:pBdr>
      <w:spacing w:before="240" w:after="240" w:line="240" w:lineRule="auto"/>
      <w:outlineLvl w:val="1"/>
    </w:pPr>
    <w:rPr>
      <w:rFonts w:asciiTheme="majorHAnsi" w:eastAsiaTheme="majorEastAsia" w:hAnsiTheme="majorHAnsi" w:cstheme="majorBidi"/>
      <w:color w:val="595959" w:themeColor="text1" w:themeTint="A6"/>
      <w:sz w:val="36"/>
      <w:szCs w:val="36"/>
    </w:rPr>
  </w:style>
  <w:style w:type="paragraph" w:styleId="Heading3">
    <w:name w:val="heading 3"/>
    <w:basedOn w:val="Normal"/>
    <w:next w:val="Normal"/>
    <w:link w:val="Heading3Char"/>
    <w:uiPriority w:val="9"/>
    <w:unhideWhenUsed/>
    <w:qFormat/>
    <w:rsid w:val="00924715"/>
    <w:pPr>
      <w:keepNext/>
      <w:keepLines/>
      <w:spacing w:after="120" w:line="240" w:lineRule="auto"/>
      <w:outlineLvl w:val="2"/>
    </w:pPr>
    <w:rPr>
      <w:rFonts w:asciiTheme="majorHAnsi" w:eastAsiaTheme="majorEastAsia" w:hAnsiTheme="majorHAnsi" w:cstheme="majorBidi"/>
      <w:color w:val="595959" w:themeColor="text1" w:themeTint="A6"/>
      <w:sz w:val="32"/>
      <w:szCs w:val="32"/>
    </w:rPr>
  </w:style>
  <w:style w:type="paragraph" w:styleId="Heading4">
    <w:name w:val="heading 4"/>
    <w:basedOn w:val="Normal"/>
    <w:next w:val="Normal"/>
    <w:link w:val="Heading4Char"/>
    <w:uiPriority w:val="9"/>
    <w:unhideWhenUsed/>
    <w:qFormat/>
    <w:rsid w:val="00924715"/>
    <w:pPr>
      <w:keepNext/>
      <w:keepLines/>
      <w:spacing w:before="80" w:after="0" w:line="240" w:lineRule="auto"/>
      <w:outlineLvl w:val="3"/>
    </w:pPr>
    <w:rPr>
      <w:rFonts w:asciiTheme="majorHAnsi" w:eastAsiaTheme="majorEastAsia" w:hAnsiTheme="majorHAnsi" w:cstheme="majorBidi"/>
      <w:i/>
      <w:iCs/>
      <w:color w:val="595959" w:themeColor="text1" w:themeTint="A6"/>
      <w:sz w:val="28"/>
      <w:szCs w:val="28"/>
    </w:rPr>
  </w:style>
  <w:style w:type="paragraph" w:styleId="Heading5">
    <w:name w:val="heading 5"/>
    <w:basedOn w:val="Normal"/>
    <w:next w:val="Normal"/>
    <w:link w:val="Heading5Char"/>
    <w:uiPriority w:val="9"/>
    <w:unhideWhenUsed/>
    <w:qFormat/>
    <w:rsid w:val="0092471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2471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2471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2471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2471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15"/>
    <w:rPr>
      <w:rFonts w:asciiTheme="majorHAnsi" w:eastAsiaTheme="majorEastAsia" w:hAnsiTheme="majorHAnsi" w:cstheme="majorBidi"/>
      <w:b/>
      <w:color w:val="262626" w:themeColor="text1" w:themeTint="D9"/>
      <w:sz w:val="44"/>
      <w:szCs w:val="40"/>
    </w:rPr>
  </w:style>
  <w:style w:type="character" w:customStyle="1" w:styleId="Heading2Char">
    <w:name w:val="Heading 2 Char"/>
    <w:basedOn w:val="DefaultParagraphFont"/>
    <w:link w:val="Heading2"/>
    <w:uiPriority w:val="9"/>
    <w:rsid w:val="00924715"/>
    <w:rPr>
      <w:rFonts w:asciiTheme="majorHAnsi" w:eastAsiaTheme="majorEastAsia" w:hAnsiTheme="majorHAnsi" w:cstheme="majorBidi"/>
      <w:color w:val="595959" w:themeColor="text1" w:themeTint="A6"/>
      <w:sz w:val="36"/>
      <w:szCs w:val="36"/>
    </w:rPr>
  </w:style>
  <w:style w:type="character" w:customStyle="1" w:styleId="Heading3Char">
    <w:name w:val="Heading 3 Char"/>
    <w:basedOn w:val="DefaultParagraphFont"/>
    <w:link w:val="Heading3"/>
    <w:uiPriority w:val="9"/>
    <w:rsid w:val="00924715"/>
    <w:rPr>
      <w:rFonts w:asciiTheme="majorHAnsi" w:eastAsiaTheme="majorEastAsia" w:hAnsiTheme="majorHAnsi" w:cstheme="majorBidi"/>
      <w:color w:val="595959" w:themeColor="text1" w:themeTint="A6"/>
      <w:sz w:val="32"/>
      <w:szCs w:val="32"/>
    </w:rPr>
  </w:style>
  <w:style w:type="character" w:customStyle="1" w:styleId="Heading4Char">
    <w:name w:val="Heading 4 Char"/>
    <w:basedOn w:val="DefaultParagraphFont"/>
    <w:link w:val="Heading4"/>
    <w:uiPriority w:val="9"/>
    <w:rsid w:val="00924715"/>
    <w:rPr>
      <w:rFonts w:asciiTheme="majorHAnsi" w:eastAsiaTheme="majorEastAsia" w:hAnsiTheme="majorHAnsi" w:cstheme="majorBidi"/>
      <w:i/>
      <w:iCs/>
      <w:color w:val="595959" w:themeColor="text1" w:themeTint="A6"/>
      <w:sz w:val="28"/>
      <w:szCs w:val="28"/>
    </w:rPr>
  </w:style>
  <w:style w:type="character" w:customStyle="1" w:styleId="Heading5Char">
    <w:name w:val="Heading 5 Char"/>
    <w:basedOn w:val="DefaultParagraphFont"/>
    <w:link w:val="Heading5"/>
    <w:uiPriority w:val="9"/>
    <w:rsid w:val="0092471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2471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2471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2471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24715"/>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2471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24715"/>
    <w:pPr>
      <w:spacing w:after="0" w:line="240" w:lineRule="auto"/>
      <w:contextualSpacing/>
    </w:pPr>
    <w:rPr>
      <w:rFonts w:asciiTheme="majorHAnsi" w:eastAsiaTheme="majorEastAsia" w:hAnsiTheme="majorHAnsi" w:cstheme="majorBidi"/>
      <w:color w:val="262626" w:themeColor="text1" w:themeTint="D9"/>
      <w:sz w:val="64"/>
      <w:szCs w:val="64"/>
    </w:rPr>
  </w:style>
  <w:style w:type="character" w:customStyle="1" w:styleId="TitleChar">
    <w:name w:val="Title Char"/>
    <w:basedOn w:val="DefaultParagraphFont"/>
    <w:link w:val="Title"/>
    <w:uiPriority w:val="10"/>
    <w:rsid w:val="00924715"/>
    <w:rPr>
      <w:rFonts w:asciiTheme="majorHAnsi" w:eastAsiaTheme="majorEastAsia" w:hAnsiTheme="majorHAnsi" w:cstheme="majorBidi"/>
      <w:color w:val="262626" w:themeColor="text1" w:themeTint="D9"/>
      <w:sz w:val="64"/>
      <w:szCs w:val="64"/>
    </w:rPr>
  </w:style>
  <w:style w:type="paragraph" w:styleId="Subtitle">
    <w:name w:val="Subtitle"/>
    <w:basedOn w:val="Normal"/>
    <w:next w:val="Normal"/>
    <w:link w:val="SubtitleChar"/>
    <w:uiPriority w:val="11"/>
    <w:qFormat/>
    <w:rsid w:val="0092471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24715"/>
    <w:rPr>
      <w:caps/>
      <w:color w:val="404040" w:themeColor="text1" w:themeTint="BF"/>
      <w:spacing w:val="20"/>
      <w:sz w:val="28"/>
      <w:szCs w:val="28"/>
    </w:rPr>
  </w:style>
  <w:style w:type="character" w:styleId="Strong">
    <w:name w:val="Strong"/>
    <w:basedOn w:val="DefaultParagraphFont"/>
    <w:uiPriority w:val="22"/>
    <w:qFormat/>
    <w:rsid w:val="00924715"/>
    <w:rPr>
      <w:b/>
      <w:bCs/>
    </w:rPr>
  </w:style>
  <w:style w:type="character" w:styleId="Emphasis">
    <w:name w:val="Emphasis"/>
    <w:basedOn w:val="DefaultParagraphFont"/>
    <w:uiPriority w:val="20"/>
    <w:qFormat/>
    <w:rsid w:val="00924715"/>
    <w:rPr>
      <w:i/>
      <w:iCs/>
      <w:color w:val="000000" w:themeColor="text1"/>
    </w:rPr>
  </w:style>
  <w:style w:type="paragraph" w:styleId="NoSpacing">
    <w:name w:val="No Spacing"/>
    <w:uiPriority w:val="1"/>
    <w:qFormat/>
    <w:rsid w:val="00924715"/>
    <w:pPr>
      <w:spacing w:after="0" w:line="240" w:lineRule="auto"/>
    </w:pPr>
  </w:style>
  <w:style w:type="paragraph" w:styleId="ListParagraph">
    <w:name w:val="List Paragraph"/>
    <w:basedOn w:val="Normal"/>
    <w:uiPriority w:val="34"/>
    <w:qFormat/>
    <w:rsid w:val="00924715"/>
    <w:pPr>
      <w:spacing w:after="0" w:line="240" w:lineRule="auto"/>
      <w:ind w:left="720"/>
    </w:pPr>
    <w:rPr>
      <w:rFonts w:ascii="Calibri" w:eastAsia="Calibri" w:hAnsi="Calibri" w:cs="Times New Roman"/>
      <w:sz w:val="22"/>
      <w:szCs w:val="22"/>
    </w:rPr>
  </w:style>
  <w:style w:type="paragraph" w:styleId="Quote">
    <w:name w:val="Quote"/>
    <w:basedOn w:val="Normal"/>
    <w:next w:val="Normal"/>
    <w:link w:val="QuoteChar"/>
    <w:uiPriority w:val="29"/>
    <w:qFormat/>
    <w:rsid w:val="0092471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2471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2471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2471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24715"/>
    <w:rPr>
      <w:i/>
      <w:iCs/>
      <w:color w:val="595959" w:themeColor="text1" w:themeTint="A6"/>
    </w:rPr>
  </w:style>
  <w:style w:type="character" w:styleId="IntenseEmphasis">
    <w:name w:val="Intense Emphasis"/>
    <w:basedOn w:val="DefaultParagraphFont"/>
    <w:uiPriority w:val="21"/>
    <w:qFormat/>
    <w:rsid w:val="00924715"/>
    <w:rPr>
      <w:b/>
      <w:bCs/>
      <w:i/>
      <w:iCs/>
      <w:caps w:val="0"/>
      <w:smallCaps w:val="0"/>
      <w:strike w:val="0"/>
      <w:dstrike w:val="0"/>
      <w:color w:val="ED7D31" w:themeColor="accent2"/>
    </w:rPr>
  </w:style>
  <w:style w:type="character" w:styleId="SubtleReference">
    <w:name w:val="Subtle Reference"/>
    <w:basedOn w:val="DefaultParagraphFont"/>
    <w:uiPriority w:val="31"/>
    <w:qFormat/>
    <w:rsid w:val="0092471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24715"/>
    <w:rPr>
      <w:b/>
      <w:bCs/>
      <w:caps w:val="0"/>
      <w:smallCaps/>
      <w:color w:val="auto"/>
      <w:spacing w:val="0"/>
      <w:u w:val="single"/>
    </w:rPr>
  </w:style>
  <w:style w:type="character" w:styleId="BookTitle">
    <w:name w:val="Book Title"/>
    <w:basedOn w:val="DefaultParagraphFont"/>
    <w:uiPriority w:val="33"/>
    <w:qFormat/>
    <w:rsid w:val="00924715"/>
    <w:rPr>
      <w:b/>
      <w:bCs/>
      <w:caps w:val="0"/>
      <w:smallCaps/>
      <w:spacing w:val="0"/>
    </w:rPr>
  </w:style>
  <w:style w:type="paragraph" w:styleId="TOCHeading">
    <w:name w:val="TOC Heading"/>
    <w:basedOn w:val="Heading1"/>
    <w:next w:val="Normal"/>
    <w:uiPriority w:val="39"/>
    <w:unhideWhenUsed/>
    <w:qFormat/>
    <w:rsid w:val="00924715"/>
    <w:pPr>
      <w:outlineLvl w:val="9"/>
    </w:pPr>
  </w:style>
  <w:style w:type="paragraph" w:styleId="Header">
    <w:name w:val="header"/>
    <w:basedOn w:val="Normal"/>
    <w:link w:val="HeaderChar"/>
    <w:uiPriority w:val="99"/>
    <w:unhideWhenUsed/>
    <w:rsid w:val="008C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CD"/>
  </w:style>
  <w:style w:type="paragraph" w:styleId="Footer">
    <w:name w:val="footer"/>
    <w:basedOn w:val="Normal"/>
    <w:link w:val="FooterChar"/>
    <w:uiPriority w:val="99"/>
    <w:unhideWhenUsed/>
    <w:rsid w:val="008C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CD"/>
  </w:style>
  <w:style w:type="table" w:styleId="TableGrid">
    <w:name w:val="Table Grid"/>
    <w:basedOn w:val="TableNormal"/>
    <w:uiPriority w:val="39"/>
    <w:rsid w:val="00EB397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39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81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F50"/>
    <w:rPr>
      <w:rFonts w:ascii="Segoe UI" w:hAnsi="Segoe UI" w:cs="Segoe UI"/>
      <w:sz w:val="18"/>
      <w:szCs w:val="18"/>
    </w:rPr>
  </w:style>
  <w:style w:type="character" w:styleId="Hyperlink">
    <w:name w:val="Hyperlink"/>
    <w:basedOn w:val="DefaultParagraphFont"/>
    <w:uiPriority w:val="99"/>
    <w:unhideWhenUsed/>
    <w:rsid w:val="00986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8052">
      <w:bodyDiv w:val="1"/>
      <w:marLeft w:val="0"/>
      <w:marRight w:val="0"/>
      <w:marTop w:val="0"/>
      <w:marBottom w:val="0"/>
      <w:divBdr>
        <w:top w:val="none" w:sz="0" w:space="0" w:color="auto"/>
        <w:left w:val="none" w:sz="0" w:space="0" w:color="auto"/>
        <w:bottom w:val="none" w:sz="0" w:space="0" w:color="auto"/>
        <w:right w:val="none" w:sz="0" w:space="0" w:color="auto"/>
      </w:divBdr>
    </w:div>
    <w:div w:id="835607565">
      <w:bodyDiv w:val="1"/>
      <w:marLeft w:val="0"/>
      <w:marRight w:val="0"/>
      <w:marTop w:val="0"/>
      <w:marBottom w:val="0"/>
      <w:divBdr>
        <w:top w:val="none" w:sz="0" w:space="0" w:color="auto"/>
        <w:left w:val="none" w:sz="0" w:space="0" w:color="auto"/>
        <w:bottom w:val="none" w:sz="0" w:space="0" w:color="auto"/>
        <w:right w:val="none" w:sz="0" w:space="0" w:color="auto"/>
      </w:divBdr>
    </w:div>
    <w:div w:id="897016052">
      <w:bodyDiv w:val="1"/>
      <w:marLeft w:val="0"/>
      <w:marRight w:val="0"/>
      <w:marTop w:val="0"/>
      <w:marBottom w:val="0"/>
      <w:divBdr>
        <w:top w:val="none" w:sz="0" w:space="0" w:color="auto"/>
        <w:left w:val="none" w:sz="0" w:space="0" w:color="auto"/>
        <w:bottom w:val="none" w:sz="0" w:space="0" w:color="auto"/>
        <w:right w:val="none" w:sz="0" w:space="0" w:color="auto"/>
      </w:divBdr>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4239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ssions.ufl.edu/learn/pace/maj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mertj\Documents\Custom%20Office%20Templates\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5548-DA8E-46FC-A4A6-A6EB2B0B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Default.dotx</Template>
  <TotalTime>10</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Summerford</dc:creator>
  <cp:keywords/>
  <dc:description/>
  <cp:lastModifiedBy>Summerford, Thomas J</cp:lastModifiedBy>
  <cp:revision>3</cp:revision>
  <cp:lastPrinted>2016-10-12T17:46:00Z</cp:lastPrinted>
  <dcterms:created xsi:type="dcterms:W3CDTF">2016-10-13T20:24:00Z</dcterms:created>
  <dcterms:modified xsi:type="dcterms:W3CDTF">2016-10-13T20:34:00Z</dcterms:modified>
</cp:coreProperties>
</file>