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34DBE" w14:textId="6BFA62EF" w:rsidR="00950499" w:rsidRPr="00ED38CE" w:rsidRDefault="00950499" w:rsidP="00E74148">
      <w:pPr>
        <w:spacing w:line="240" w:lineRule="auto"/>
        <w:rPr>
          <w:rFonts w:ascii="Times New Roman" w:hAnsi="Times New Roman" w:cs="Times New Roman"/>
          <w:b/>
          <w:color w:val="auto"/>
          <w:sz w:val="28"/>
          <w:szCs w:val="28"/>
        </w:rPr>
      </w:pPr>
      <w:r w:rsidRPr="00ED38CE">
        <w:rPr>
          <w:rFonts w:ascii="Times New Roman" w:hAnsi="Times New Roman" w:cs="Times New Roman"/>
          <w:b/>
          <w:color w:val="auto"/>
          <w:sz w:val="28"/>
          <w:szCs w:val="28"/>
        </w:rPr>
        <w:t>Un</w:t>
      </w:r>
      <w:r w:rsidR="00076103">
        <w:rPr>
          <w:rFonts w:ascii="Times New Roman" w:hAnsi="Times New Roman" w:cs="Times New Roman"/>
          <w:b/>
          <w:color w:val="auto"/>
          <w:sz w:val="28"/>
          <w:szCs w:val="28"/>
        </w:rPr>
        <w:t xml:space="preserve">met </w:t>
      </w:r>
      <w:r w:rsidR="0003567A" w:rsidRPr="00ED38CE">
        <w:rPr>
          <w:rFonts w:ascii="Times New Roman" w:hAnsi="Times New Roman" w:cs="Times New Roman"/>
          <w:b/>
          <w:color w:val="auto"/>
          <w:sz w:val="28"/>
          <w:szCs w:val="28"/>
        </w:rPr>
        <w:t>Promise</w:t>
      </w:r>
    </w:p>
    <w:p w14:paraId="73C4CB13" w14:textId="762D7094" w:rsidR="00A011F8" w:rsidRPr="008E216D" w:rsidRDefault="00950499" w:rsidP="00E74148">
      <w:pPr>
        <w:spacing w:line="240" w:lineRule="auto"/>
        <w:rPr>
          <w:rFonts w:ascii="Times New Roman" w:hAnsi="Times New Roman" w:cs="Times New Roman"/>
          <w:b/>
          <w:color w:val="auto"/>
          <w:sz w:val="24"/>
          <w:szCs w:val="24"/>
        </w:rPr>
      </w:pPr>
      <w:r w:rsidRPr="008E216D">
        <w:rPr>
          <w:rFonts w:ascii="Times New Roman" w:hAnsi="Times New Roman" w:cs="Times New Roman"/>
          <w:b/>
          <w:color w:val="auto"/>
          <w:sz w:val="24"/>
          <w:szCs w:val="24"/>
        </w:rPr>
        <w:t xml:space="preserve">How to </w:t>
      </w:r>
      <w:r w:rsidR="00A011F8" w:rsidRPr="008E216D">
        <w:rPr>
          <w:rFonts w:ascii="Times New Roman" w:hAnsi="Times New Roman" w:cs="Times New Roman"/>
          <w:b/>
          <w:color w:val="auto"/>
          <w:sz w:val="24"/>
          <w:szCs w:val="24"/>
        </w:rPr>
        <w:t>Fix America’s Community Colleges</w:t>
      </w:r>
    </w:p>
    <w:p w14:paraId="60F7B8E2" w14:textId="77777777" w:rsidR="00904537" w:rsidRDefault="00904537" w:rsidP="00E74148">
      <w:pPr>
        <w:spacing w:line="240" w:lineRule="auto"/>
        <w:rPr>
          <w:rFonts w:ascii="Times New Roman" w:hAnsi="Times New Roman" w:cs="Times New Roman"/>
          <w:b/>
          <w:color w:val="auto"/>
          <w:sz w:val="24"/>
          <w:szCs w:val="24"/>
        </w:rPr>
      </w:pPr>
    </w:p>
    <w:p w14:paraId="618419D3" w14:textId="77777777" w:rsidR="00ED38CE" w:rsidRPr="008E216D" w:rsidRDefault="00904537" w:rsidP="00ED38CE">
      <w:pPr>
        <w:spacing w:line="240" w:lineRule="auto"/>
        <w:rPr>
          <w:rFonts w:ascii="Times New Roman" w:hAnsi="Times New Roman" w:cs="Times New Roman"/>
          <w:color w:val="auto"/>
          <w:sz w:val="24"/>
          <w:szCs w:val="24"/>
          <w:shd w:val="clear" w:color="auto" w:fill="FFFFFF"/>
        </w:rPr>
      </w:pPr>
      <w:r w:rsidRPr="008E216D">
        <w:rPr>
          <w:rFonts w:ascii="Times New Roman" w:hAnsi="Times New Roman" w:cs="Times New Roman"/>
          <w:color w:val="auto"/>
          <w:sz w:val="24"/>
          <w:szCs w:val="24"/>
          <w:shd w:val="clear" w:color="auto" w:fill="FFFFFF"/>
        </w:rPr>
        <w:t>Judah Bellin</w:t>
      </w:r>
      <w:r w:rsidRPr="008E216D">
        <w:rPr>
          <w:rFonts w:ascii="Times New Roman" w:hAnsi="Times New Roman" w:cs="Times New Roman"/>
          <w:color w:val="auto"/>
          <w:sz w:val="24"/>
          <w:szCs w:val="24"/>
          <w:shd w:val="clear" w:color="auto" w:fill="FFFFFF"/>
        </w:rPr>
        <w:t>, Adjunct F</w:t>
      </w:r>
      <w:r w:rsidRPr="008E216D">
        <w:rPr>
          <w:rFonts w:ascii="Times New Roman" w:hAnsi="Times New Roman" w:cs="Times New Roman"/>
          <w:color w:val="auto"/>
          <w:sz w:val="24"/>
          <w:szCs w:val="24"/>
          <w:shd w:val="clear" w:color="auto" w:fill="FFFFFF"/>
        </w:rPr>
        <w:t>ellow</w:t>
      </w:r>
      <w:r w:rsidRPr="008E216D">
        <w:rPr>
          <w:rStyle w:val="apple-converted-space"/>
          <w:rFonts w:ascii="Times New Roman" w:hAnsi="Times New Roman" w:cs="Times New Roman"/>
          <w:color w:val="auto"/>
          <w:sz w:val="24"/>
          <w:szCs w:val="24"/>
          <w:shd w:val="clear" w:color="auto" w:fill="FFFFFF"/>
        </w:rPr>
        <w:t>, Manhattan Institute</w:t>
      </w:r>
      <w:r w:rsidR="00ED38CE">
        <w:rPr>
          <w:rStyle w:val="apple-converted-space"/>
          <w:rFonts w:ascii="Times New Roman" w:hAnsi="Times New Roman" w:cs="Times New Roman"/>
          <w:color w:val="auto"/>
          <w:sz w:val="24"/>
          <w:szCs w:val="24"/>
          <w:shd w:val="clear" w:color="auto" w:fill="FFFFFF"/>
        </w:rPr>
        <w:t xml:space="preserve">; </w:t>
      </w:r>
      <w:r w:rsidR="00ED38CE" w:rsidRPr="008E216D">
        <w:rPr>
          <w:rFonts w:ascii="Times New Roman" w:hAnsi="Times New Roman" w:cs="Times New Roman"/>
          <w:color w:val="auto"/>
          <w:sz w:val="24"/>
          <w:szCs w:val="24"/>
          <w:shd w:val="clear" w:color="auto" w:fill="FFFFFF"/>
        </w:rPr>
        <w:t>Issue Brief 39, September 2015</w:t>
      </w:r>
    </w:p>
    <w:p w14:paraId="1EB453E7" w14:textId="5F3A7AC1" w:rsidR="00904537" w:rsidRPr="008E216D" w:rsidRDefault="00904537" w:rsidP="00E74148">
      <w:pPr>
        <w:spacing w:line="240" w:lineRule="auto"/>
        <w:rPr>
          <w:rFonts w:ascii="Times New Roman" w:hAnsi="Times New Roman" w:cs="Times New Roman"/>
          <w:color w:val="auto"/>
          <w:sz w:val="24"/>
          <w:szCs w:val="24"/>
          <w:shd w:val="clear" w:color="auto" w:fill="FFFFFF"/>
        </w:rPr>
      </w:pPr>
    </w:p>
    <w:p w14:paraId="3534984C" w14:textId="77777777" w:rsidR="00904537" w:rsidRPr="008E216D" w:rsidRDefault="00904537" w:rsidP="00E74148">
      <w:pPr>
        <w:spacing w:line="240" w:lineRule="auto"/>
        <w:rPr>
          <w:rFonts w:ascii="Times New Roman" w:hAnsi="Times New Roman" w:cs="Times New Roman"/>
          <w:color w:val="auto"/>
          <w:sz w:val="24"/>
          <w:szCs w:val="24"/>
        </w:rPr>
      </w:pPr>
    </w:p>
    <w:p w14:paraId="6E9633B0" w14:textId="77777777" w:rsidR="00A011F8" w:rsidRPr="008E216D" w:rsidRDefault="004C40B1" w:rsidP="00E74148">
      <w:pPr>
        <w:spacing w:line="240" w:lineRule="auto"/>
        <w:rPr>
          <w:rFonts w:ascii="Times New Roman" w:hAnsi="Times New Roman" w:cs="Times New Roman"/>
          <w:b/>
          <w:color w:val="auto"/>
          <w:sz w:val="24"/>
          <w:szCs w:val="24"/>
        </w:rPr>
      </w:pPr>
      <w:r w:rsidRPr="008E216D">
        <w:rPr>
          <w:rFonts w:ascii="Times New Roman" w:hAnsi="Times New Roman" w:cs="Times New Roman"/>
          <w:b/>
          <w:color w:val="auto"/>
          <w:sz w:val="24"/>
          <w:szCs w:val="24"/>
        </w:rPr>
        <w:t>Executive Summary</w:t>
      </w:r>
    </w:p>
    <w:p w14:paraId="1349DD2D" w14:textId="720BC924" w:rsidR="00E74148" w:rsidRDefault="00A011F8" w:rsidP="00E74148">
      <w:pPr>
        <w:spacing w:line="240" w:lineRule="auto"/>
        <w:rPr>
          <w:rFonts w:ascii="Times New Roman" w:hAnsi="Times New Roman" w:cs="Times New Roman"/>
          <w:sz w:val="24"/>
          <w:szCs w:val="24"/>
        </w:rPr>
      </w:pPr>
      <w:r w:rsidRPr="00904537">
        <w:rPr>
          <w:rFonts w:ascii="Times New Roman" w:hAnsi="Times New Roman" w:cs="Times New Roman"/>
          <w:sz w:val="24"/>
          <w:szCs w:val="24"/>
        </w:rPr>
        <w:t xml:space="preserve">As worries over Americans’ workforce skills persist, community colleges have reemerged as a potential solution. </w:t>
      </w:r>
      <w:r w:rsidR="00E74148" w:rsidRPr="00904537">
        <w:rPr>
          <w:rFonts w:ascii="Times New Roman" w:hAnsi="Times New Roman" w:cs="Times New Roman"/>
          <w:sz w:val="24"/>
          <w:szCs w:val="24"/>
        </w:rPr>
        <w:t xml:space="preserve">The country’s </w:t>
      </w:r>
      <w:r w:rsidRPr="00904537">
        <w:rPr>
          <w:rFonts w:ascii="Times New Roman" w:hAnsi="Times New Roman" w:cs="Times New Roman"/>
          <w:sz w:val="24"/>
          <w:szCs w:val="24"/>
        </w:rPr>
        <w:t>1,132 community colleges</w:t>
      </w:r>
      <w:r w:rsidR="006F0D38" w:rsidRPr="00904537">
        <w:rPr>
          <w:rFonts w:ascii="Times New Roman" w:hAnsi="Times New Roman" w:cs="Times New Roman"/>
          <w:sz w:val="24"/>
          <w:szCs w:val="24"/>
        </w:rPr>
        <w:t>—two-year, not-for-profit public colleges—</w:t>
      </w:r>
      <w:r w:rsidRPr="00904537">
        <w:rPr>
          <w:rFonts w:ascii="Times New Roman" w:hAnsi="Times New Roman" w:cs="Times New Roman"/>
          <w:sz w:val="24"/>
          <w:szCs w:val="24"/>
        </w:rPr>
        <w:t>are designed to provide lower-income students with an entryway into traditional four-year colleges</w:t>
      </w:r>
      <w:r w:rsidR="006F34C2" w:rsidRPr="00904537">
        <w:rPr>
          <w:rFonts w:ascii="Times New Roman" w:hAnsi="Times New Roman" w:cs="Times New Roman"/>
          <w:sz w:val="24"/>
          <w:szCs w:val="24"/>
        </w:rPr>
        <w:t>, as well as</w:t>
      </w:r>
      <w:r w:rsidRPr="00904537">
        <w:rPr>
          <w:rFonts w:ascii="Times New Roman" w:hAnsi="Times New Roman" w:cs="Times New Roman"/>
          <w:sz w:val="24"/>
          <w:szCs w:val="24"/>
        </w:rPr>
        <w:t xml:space="preserve"> </w:t>
      </w:r>
      <w:r w:rsidR="002C2C9D" w:rsidRPr="00904537">
        <w:rPr>
          <w:rFonts w:ascii="Times New Roman" w:hAnsi="Times New Roman" w:cs="Times New Roman"/>
          <w:sz w:val="24"/>
          <w:szCs w:val="24"/>
        </w:rPr>
        <w:t xml:space="preserve">offer </w:t>
      </w:r>
      <w:r w:rsidR="00D6476D" w:rsidRPr="00904537">
        <w:rPr>
          <w:rFonts w:ascii="Times New Roman" w:hAnsi="Times New Roman" w:cs="Times New Roman"/>
          <w:sz w:val="24"/>
          <w:szCs w:val="24"/>
        </w:rPr>
        <w:t>career training</w:t>
      </w:r>
      <w:r w:rsidR="00D6476D">
        <w:rPr>
          <w:rFonts w:ascii="Times New Roman" w:hAnsi="Times New Roman" w:cs="Times New Roman"/>
          <w:sz w:val="24"/>
          <w:szCs w:val="24"/>
        </w:rPr>
        <w:t>.</w:t>
      </w:r>
    </w:p>
    <w:p w14:paraId="13B6D31A" w14:textId="37FD5991" w:rsidR="00A011F8" w:rsidRPr="00E74148" w:rsidRDefault="00E74148" w:rsidP="00E74148">
      <w:pPr>
        <w:spacing w:line="240" w:lineRule="auto"/>
        <w:ind w:firstLine="720"/>
        <w:rPr>
          <w:rFonts w:ascii="Times New Roman" w:hAnsi="Times New Roman" w:cs="Times New Roman"/>
          <w:sz w:val="24"/>
          <w:szCs w:val="24"/>
        </w:rPr>
      </w:pPr>
      <w:r>
        <w:rPr>
          <w:rFonts w:ascii="Times New Roman" w:hAnsi="Times New Roman" w:cs="Times New Roman"/>
          <w:sz w:val="24"/>
          <w:szCs w:val="24"/>
        </w:rPr>
        <w:t>P</w:t>
      </w:r>
      <w:r w:rsidR="00A011F8" w:rsidRPr="00E74148">
        <w:rPr>
          <w:rFonts w:ascii="Times New Roman" w:hAnsi="Times New Roman" w:cs="Times New Roman"/>
          <w:sz w:val="24"/>
          <w:szCs w:val="24"/>
        </w:rPr>
        <w:t xml:space="preserve">oliticians from both parties have spoken highly of </w:t>
      </w:r>
      <w:r w:rsidR="00A86FA6">
        <w:rPr>
          <w:rFonts w:ascii="Times New Roman" w:hAnsi="Times New Roman" w:cs="Times New Roman"/>
          <w:sz w:val="24"/>
          <w:szCs w:val="24"/>
        </w:rPr>
        <w:t xml:space="preserve">America’s community </w:t>
      </w:r>
      <w:r w:rsidR="00A011F8" w:rsidRPr="00E74148">
        <w:rPr>
          <w:rFonts w:ascii="Times New Roman" w:hAnsi="Times New Roman" w:cs="Times New Roman"/>
          <w:sz w:val="24"/>
          <w:szCs w:val="24"/>
        </w:rPr>
        <w:t>college sector. Bill Clinton</w:t>
      </w:r>
      <w:r w:rsidR="008A684D">
        <w:rPr>
          <w:rFonts w:ascii="Times New Roman" w:hAnsi="Times New Roman" w:cs="Times New Roman"/>
          <w:sz w:val="24"/>
          <w:szCs w:val="24"/>
        </w:rPr>
        <w:t xml:space="preserve"> declared: </w:t>
      </w:r>
      <w:r w:rsidR="00A011F8" w:rsidRPr="00E74148">
        <w:rPr>
          <w:rFonts w:ascii="Times New Roman" w:hAnsi="Times New Roman" w:cs="Times New Roman"/>
          <w:sz w:val="24"/>
          <w:szCs w:val="24"/>
        </w:rPr>
        <w:t xml:space="preserve">“If community colleges had yet to be invented, there would be a mad rush to do </w:t>
      </w:r>
      <w:r w:rsidR="002B2B90">
        <w:rPr>
          <w:rFonts w:ascii="Times New Roman" w:hAnsi="Times New Roman" w:cs="Times New Roman"/>
          <w:sz w:val="24"/>
          <w:szCs w:val="24"/>
        </w:rPr>
        <w:t>so today.</w:t>
      </w:r>
      <w:r w:rsidR="00A011F8" w:rsidRPr="00E74148">
        <w:rPr>
          <w:rFonts w:ascii="Times New Roman" w:hAnsi="Times New Roman" w:cs="Times New Roman"/>
          <w:sz w:val="24"/>
          <w:szCs w:val="24"/>
        </w:rPr>
        <w:t>”</w:t>
      </w:r>
      <w:r w:rsidR="00A011F8" w:rsidRPr="00E74148">
        <w:rPr>
          <w:rFonts w:ascii="Times New Roman" w:hAnsi="Times New Roman" w:cs="Times New Roman"/>
          <w:sz w:val="24"/>
          <w:szCs w:val="24"/>
          <w:vertAlign w:val="superscript"/>
        </w:rPr>
        <w:footnoteReference w:id="1"/>
      </w:r>
      <w:r w:rsidR="00A011F8" w:rsidRPr="00E74148">
        <w:rPr>
          <w:rFonts w:ascii="Times New Roman" w:hAnsi="Times New Roman" w:cs="Times New Roman"/>
          <w:sz w:val="24"/>
          <w:szCs w:val="24"/>
        </w:rPr>
        <w:t xml:space="preserve"> Ronald Reagan</w:t>
      </w:r>
      <w:r w:rsidR="008A684D">
        <w:rPr>
          <w:rFonts w:ascii="Times New Roman" w:hAnsi="Times New Roman" w:cs="Times New Roman"/>
          <w:sz w:val="24"/>
          <w:szCs w:val="24"/>
        </w:rPr>
        <w:t xml:space="preserve"> referred to</w:t>
      </w:r>
      <w:r w:rsidR="00A011F8" w:rsidRPr="00E74148">
        <w:rPr>
          <w:rFonts w:ascii="Times New Roman" w:hAnsi="Times New Roman" w:cs="Times New Roman"/>
          <w:sz w:val="24"/>
          <w:szCs w:val="24"/>
        </w:rPr>
        <w:t xml:space="preserve"> community colleges as “a priceless treasure.”</w:t>
      </w:r>
      <w:r w:rsidR="00A011F8" w:rsidRPr="00E74148">
        <w:rPr>
          <w:rFonts w:ascii="Times New Roman" w:hAnsi="Times New Roman" w:cs="Times New Roman"/>
          <w:sz w:val="24"/>
          <w:szCs w:val="24"/>
          <w:vertAlign w:val="superscript"/>
        </w:rPr>
        <w:footnoteReference w:id="2"/>
      </w:r>
      <w:r w:rsidR="00A011F8" w:rsidRPr="00E74148">
        <w:rPr>
          <w:rFonts w:ascii="Times New Roman" w:hAnsi="Times New Roman" w:cs="Times New Roman"/>
          <w:sz w:val="24"/>
          <w:szCs w:val="24"/>
        </w:rPr>
        <w:t xml:space="preserve"> </w:t>
      </w:r>
      <w:r w:rsidR="002B2B90">
        <w:rPr>
          <w:rFonts w:ascii="Times New Roman" w:hAnsi="Times New Roman" w:cs="Times New Roman"/>
          <w:sz w:val="24"/>
          <w:szCs w:val="24"/>
        </w:rPr>
        <w:t>President</w:t>
      </w:r>
      <w:r w:rsidR="004C40B1">
        <w:rPr>
          <w:rFonts w:ascii="Times New Roman" w:hAnsi="Times New Roman" w:cs="Times New Roman"/>
          <w:sz w:val="24"/>
          <w:szCs w:val="24"/>
        </w:rPr>
        <w:t xml:space="preserve">s Clinton and </w:t>
      </w:r>
      <w:r w:rsidR="00A011F8" w:rsidRPr="00E74148">
        <w:rPr>
          <w:rFonts w:ascii="Times New Roman" w:hAnsi="Times New Roman" w:cs="Times New Roman"/>
          <w:sz w:val="24"/>
          <w:szCs w:val="24"/>
        </w:rPr>
        <w:t>George W. Bush</w:t>
      </w:r>
      <w:r w:rsidR="004C40B1">
        <w:rPr>
          <w:rFonts w:ascii="Times New Roman" w:hAnsi="Times New Roman" w:cs="Times New Roman"/>
          <w:sz w:val="24"/>
          <w:szCs w:val="24"/>
        </w:rPr>
        <w:t xml:space="preserve"> both</w:t>
      </w:r>
      <w:r w:rsidR="002B2B90">
        <w:rPr>
          <w:rFonts w:ascii="Times New Roman" w:hAnsi="Times New Roman" w:cs="Times New Roman"/>
          <w:sz w:val="24"/>
          <w:szCs w:val="24"/>
        </w:rPr>
        <w:t xml:space="preserve"> reque</w:t>
      </w:r>
      <w:r w:rsidR="00A86FA6">
        <w:rPr>
          <w:rFonts w:ascii="Times New Roman" w:hAnsi="Times New Roman" w:cs="Times New Roman"/>
          <w:sz w:val="24"/>
          <w:szCs w:val="24"/>
        </w:rPr>
        <w:t xml:space="preserve">sted more funding for community </w:t>
      </w:r>
      <w:r w:rsidR="00A011F8" w:rsidRPr="00E74148">
        <w:rPr>
          <w:rFonts w:ascii="Times New Roman" w:hAnsi="Times New Roman" w:cs="Times New Roman"/>
          <w:sz w:val="24"/>
          <w:szCs w:val="24"/>
        </w:rPr>
        <w:t>college students.</w:t>
      </w:r>
      <w:r w:rsidR="00A011F8" w:rsidRPr="00E74148">
        <w:rPr>
          <w:rFonts w:ascii="Times New Roman" w:hAnsi="Times New Roman" w:cs="Times New Roman"/>
          <w:sz w:val="24"/>
          <w:szCs w:val="24"/>
          <w:vertAlign w:val="superscript"/>
        </w:rPr>
        <w:footnoteReference w:id="3"/>
      </w:r>
      <w:r w:rsidR="00A011F8" w:rsidRPr="00E74148">
        <w:rPr>
          <w:rFonts w:ascii="Times New Roman" w:hAnsi="Times New Roman" w:cs="Times New Roman"/>
          <w:sz w:val="24"/>
          <w:szCs w:val="24"/>
        </w:rPr>
        <w:t xml:space="preserve"> More recently, President Obama </w:t>
      </w:r>
      <w:r w:rsidR="009E17A5">
        <w:rPr>
          <w:rFonts w:ascii="Times New Roman" w:hAnsi="Times New Roman" w:cs="Times New Roman"/>
          <w:sz w:val="24"/>
          <w:szCs w:val="24"/>
        </w:rPr>
        <w:t>proposed making</w:t>
      </w:r>
      <w:r w:rsidR="00A011F8" w:rsidRPr="00E74148">
        <w:rPr>
          <w:rFonts w:ascii="Times New Roman" w:hAnsi="Times New Roman" w:cs="Times New Roman"/>
          <w:sz w:val="24"/>
          <w:szCs w:val="24"/>
        </w:rPr>
        <w:t xml:space="preserve"> the first two years of community </w:t>
      </w:r>
      <w:r w:rsidR="004C40B1">
        <w:rPr>
          <w:rFonts w:ascii="Times New Roman" w:hAnsi="Times New Roman" w:cs="Times New Roman"/>
          <w:sz w:val="24"/>
          <w:szCs w:val="24"/>
        </w:rPr>
        <w:t xml:space="preserve">college </w:t>
      </w:r>
      <w:r w:rsidR="00A011F8" w:rsidRPr="00E74148">
        <w:rPr>
          <w:rFonts w:ascii="Times New Roman" w:hAnsi="Times New Roman" w:cs="Times New Roman"/>
          <w:sz w:val="24"/>
          <w:szCs w:val="24"/>
        </w:rPr>
        <w:t>free for students who maintain a 2.5 GPA and make good progress in obtaining their degrees.</w:t>
      </w:r>
      <w:r w:rsidR="00A011F8" w:rsidRPr="00E74148">
        <w:rPr>
          <w:rFonts w:ascii="Times New Roman" w:hAnsi="Times New Roman" w:cs="Times New Roman"/>
          <w:sz w:val="24"/>
          <w:szCs w:val="24"/>
          <w:vertAlign w:val="superscript"/>
        </w:rPr>
        <w:footnoteReference w:id="4"/>
      </w:r>
    </w:p>
    <w:p w14:paraId="67CD586C" w14:textId="6D5F4A80" w:rsidR="00A011F8" w:rsidRPr="00E74148" w:rsidRDefault="008419B7" w:rsidP="004C40B1">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such high praise, </w:t>
      </w:r>
      <w:r w:rsidR="00A011F8" w:rsidRPr="00E74148">
        <w:rPr>
          <w:rFonts w:ascii="Times New Roman" w:hAnsi="Times New Roman" w:cs="Times New Roman"/>
          <w:sz w:val="24"/>
          <w:szCs w:val="24"/>
        </w:rPr>
        <w:t>the sector</w:t>
      </w:r>
      <w:r>
        <w:rPr>
          <w:rFonts w:ascii="Times New Roman" w:hAnsi="Times New Roman" w:cs="Times New Roman"/>
          <w:sz w:val="24"/>
          <w:szCs w:val="24"/>
        </w:rPr>
        <w:t xml:space="preserve"> suffers from serious </w:t>
      </w:r>
      <w:r w:rsidR="00DF4E02">
        <w:rPr>
          <w:rFonts w:ascii="Times New Roman" w:hAnsi="Times New Roman" w:cs="Times New Roman"/>
          <w:sz w:val="24"/>
          <w:szCs w:val="24"/>
        </w:rPr>
        <w:t xml:space="preserve">flaws. </w:t>
      </w:r>
      <w:r w:rsidR="00A011F8" w:rsidRPr="00E74148">
        <w:rPr>
          <w:rFonts w:ascii="Times New Roman" w:hAnsi="Times New Roman" w:cs="Times New Roman"/>
          <w:sz w:val="24"/>
          <w:szCs w:val="24"/>
        </w:rPr>
        <w:t xml:space="preserve">While more accessible to lower-income and minority students than traditional </w:t>
      </w:r>
      <w:r w:rsidR="00D57897">
        <w:rPr>
          <w:rFonts w:ascii="Times New Roman" w:hAnsi="Times New Roman" w:cs="Times New Roman"/>
          <w:sz w:val="24"/>
          <w:szCs w:val="24"/>
        </w:rPr>
        <w:t xml:space="preserve">higher-education </w:t>
      </w:r>
      <w:r w:rsidR="007640A6">
        <w:rPr>
          <w:rFonts w:ascii="Times New Roman" w:hAnsi="Times New Roman" w:cs="Times New Roman"/>
          <w:sz w:val="24"/>
          <w:szCs w:val="24"/>
        </w:rPr>
        <w:t xml:space="preserve">institutions, </w:t>
      </w:r>
      <w:r w:rsidR="00431817">
        <w:rPr>
          <w:rFonts w:ascii="Times New Roman" w:hAnsi="Times New Roman" w:cs="Times New Roman"/>
          <w:sz w:val="24"/>
          <w:szCs w:val="24"/>
        </w:rPr>
        <w:t xml:space="preserve">community colleges </w:t>
      </w:r>
      <w:r w:rsidR="007640A6">
        <w:rPr>
          <w:rFonts w:ascii="Times New Roman" w:hAnsi="Times New Roman" w:cs="Times New Roman"/>
          <w:sz w:val="24"/>
          <w:szCs w:val="24"/>
        </w:rPr>
        <w:t>experience</w:t>
      </w:r>
      <w:r w:rsidR="00A011F8" w:rsidRPr="00E74148">
        <w:rPr>
          <w:rFonts w:ascii="Times New Roman" w:hAnsi="Times New Roman" w:cs="Times New Roman"/>
          <w:sz w:val="24"/>
          <w:szCs w:val="24"/>
        </w:rPr>
        <w:t xml:space="preserve"> the lowest compl</w:t>
      </w:r>
      <w:r w:rsidR="009E17A5">
        <w:rPr>
          <w:rFonts w:ascii="Times New Roman" w:hAnsi="Times New Roman" w:cs="Times New Roman"/>
          <w:sz w:val="24"/>
          <w:szCs w:val="24"/>
        </w:rPr>
        <w:t>etion rates and highest student-</w:t>
      </w:r>
      <w:r w:rsidR="00A011F8" w:rsidRPr="00E74148">
        <w:rPr>
          <w:rFonts w:ascii="Times New Roman" w:hAnsi="Times New Roman" w:cs="Times New Roman"/>
          <w:sz w:val="24"/>
          <w:szCs w:val="24"/>
        </w:rPr>
        <w:t>l</w:t>
      </w:r>
      <w:r w:rsidR="009E17A5">
        <w:rPr>
          <w:rFonts w:ascii="Times New Roman" w:hAnsi="Times New Roman" w:cs="Times New Roman"/>
          <w:sz w:val="24"/>
          <w:szCs w:val="24"/>
        </w:rPr>
        <w:t>oan default rates of any higher-</w:t>
      </w:r>
      <w:r w:rsidR="00A011F8" w:rsidRPr="00E74148">
        <w:rPr>
          <w:rFonts w:ascii="Times New Roman" w:hAnsi="Times New Roman" w:cs="Times New Roman"/>
          <w:sz w:val="24"/>
          <w:szCs w:val="24"/>
        </w:rPr>
        <w:t>ed sector.</w:t>
      </w:r>
      <w:r w:rsidR="009E17A5">
        <w:rPr>
          <w:rFonts w:ascii="Times New Roman" w:hAnsi="Times New Roman" w:cs="Times New Roman"/>
          <w:sz w:val="24"/>
          <w:szCs w:val="24"/>
        </w:rPr>
        <w:t xml:space="preserve"> </w:t>
      </w:r>
      <w:r w:rsidR="001C0115">
        <w:rPr>
          <w:rFonts w:ascii="Times New Roman" w:hAnsi="Times New Roman" w:cs="Times New Roman"/>
          <w:sz w:val="24"/>
          <w:szCs w:val="24"/>
        </w:rPr>
        <w:t>I</w:t>
      </w:r>
      <w:r w:rsidR="009E17A5">
        <w:rPr>
          <w:rFonts w:ascii="Times New Roman" w:hAnsi="Times New Roman" w:cs="Times New Roman"/>
          <w:sz w:val="24"/>
          <w:szCs w:val="24"/>
        </w:rPr>
        <w:t xml:space="preserve">n recent years, </w:t>
      </w:r>
      <w:r w:rsidR="00A011F8" w:rsidRPr="00E74148">
        <w:rPr>
          <w:rFonts w:ascii="Times New Roman" w:hAnsi="Times New Roman" w:cs="Times New Roman"/>
          <w:sz w:val="24"/>
          <w:szCs w:val="24"/>
        </w:rPr>
        <w:t>community colleges have experienced the sharpest drop in completion rates</w:t>
      </w:r>
      <w:r w:rsidR="001C0115">
        <w:rPr>
          <w:rFonts w:ascii="Times New Roman" w:hAnsi="Times New Roman" w:cs="Times New Roman"/>
          <w:sz w:val="24"/>
          <w:szCs w:val="24"/>
        </w:rPr>
        <w:t>, too</w:t>
      </w:r>
      <w:r w:rsidR="007640A6">
        <w:rPr>
          <w:rFonts w:ascii="Times New Roman" w:hAnsi="Times New Roman" w:cs="Times New Roman"/>
          <w:sz w:val="24"/>
          <w:szCs w:val="24"/>
        </w:rPr>
        <w:t>.</w:t>
      </w:r>
    </w:p>
    <w:p w14:paraId="4BC6081E" w14:textId="77777777" w:rsidR="001C0115" w:rsidRDefault="00A011F8" w:rsidP="009E17A5">
      <w:pPr>
        <w:spacing w:line="240" w:lineRule="auto"/>
        <w:ind w:firstLine="720"/>
        <w:rPr>
          <w:rFonts w:ascii="Times New Roman" w:hAnsi="Times New Roman" w:cs="Times New Roman"/>
          <w:sz w:val="24"/>
          <w:szCs w:val="24"/>
        </w:rPr>
      </w:pPr>
      <w:r w:rsidRPr="00E74148">
        <w:rPr>
          <w:rFonts w:ascii="Times New Roman" w:hAnsi="Times New Roman" w:cs="Times New Roman"/>
          <w:sz w:val="24"/>
          <w:szCs w:val="24"/>
        </w:rPr>
        <w:t xml:space="preserve">Absent widespread improvement of outcomes, </w:t>
      </w:r>
      <w:r w:rsidR="00170EE5">
        <w:rPr>
          <w:rFonts w:ascii="Times New Roman" w:hAnsi="Times New Roman" w:cs="Times New Roman"/>
          <w:sz w:val="24"/>
          <w:szCs w:val="24"/>
        </w:rPr>
        <w:t xml:space="preserve">America’s </w:t>
      </w:r>
      <w:r w:rsidRPr="00E74148">
        <w:rPr>
          <w:rFonts w:ascii="Times New Roman" w:hAnsi="Times New Roman" w:cs="Times New Roman"/>
          <w:sz w:val="24"/>
          <w:szCs w:val="24"/>
        </w:rPr>
        <w:t xml:space="preserve">community colleges might not </w:t>
      </w:r>
      <w:r w:rsidR="00256DC6" w:rsidRPr="00E74148">
        <w:rPr>
          <w:rFonts w:ascii="Times New Roman" w:hAnsi="Times New Roman" w:cs="Times New Roman"/>
          <w:sz w:val="24"/>
          <w:szCs w:val="24"/>
        </w:rPr>
        <w:t>offer students</w:t>
      </w:r>
      <w:r w:rsidR="001C0115">
        <w:rPr>
          <w:rFonts w:ascii="Times New Roman" w:hAnsi="Times New Roman" w:cs="Times New Roman"/>
          <w:sz w:val="24"/>
          <w:szCs w:val="24"/>
        </w:rPr>
        <w:t xml:space="preserve"> a bargain—even if tuition were</w:t>
      </w:r>
      <w:r w:rsidRPr="00E74148">
        <w:rPr>
          <w:rFonts w:ascii="Times New Roman" w:hAnsi="Times New Roman" w:cs="Times New Roman"/>
          <w:sz w:val="24"/>
          <w:szCs w:val="24"/>
        </w:rPr>
        <w:t xml:space="preserve"> free. To make community college a worthwhile investment, </w:t>
      </w:r>
      <w:r w:rsidR="00016A9A" w:rsidRPr="00E74148">
        <w:rPr>
          <w:rFonts w:ascii="Times New Roman" w:hAnsi="Times New Roman" w:cs="Times New Roman"/>
          <w:sz w:val="24"/>
          <w:szCs w:val="24"/>
        </w:rPr>
        <w:t>the sector</w:t>
      </w:r>
      <w:r w:rsidRPr="00E74148">
        <w:rPr>
          <w:rFonts w:ascii="Times New Roman" w:hAnsi="Times New Roman" w:cs="Times New Roman"/>
          <w:sz w:val="24"/>
          <w:szCs w:val="24"/>
        </w:rPr>
        <w:t xml:space="preserve"> should learn from the small number of successful schools that employ intensive counseling to help students graduate quickly. </w:t>
      </w:r>
      <w:r w:rsidR="001C0115">
        <w:rPr>
          <w:rFonts w:ascii="Times New Roman" w:hAnsi="Times New Roman" w:cs="Times New Roman"/>
          <w:sz w:val="24"/>
          <w:szCs w:val="24"/>
        </w:rPr>
        <w:t xml:space="preserve">The sector </w:t>
      </w:r>
      <w:r w:rsidRPr="00E74148">
        <w:rPr>
          <w:rFonts w:ascii="Times New Roman" w:hAnsi="Times New Roman" w:cs="Times New Roman"/>
          <w:sz w:val="24"/>
          <w:szCs w:val="24"/>
        </w:rPr>
        <w:t xml:space="preserve">should </w:t>
      </w:r>
      <w:r w:rsidR="001C0115">
        <w:rPr>
          <w:rFonts w:ascii="Times New Roman" w:hAnsi="Times New Roman" w:cs="Times New Roman"/>
          <w:sz w:val="24"/>
          <w:szCs w:val="24"/>
        </w:rPr>
        <w:t xml:space="preserve">also emulate </w:t>
      </w:r>
      <w:r w:rsidRPr="00E74148">
        <w:rPr>
          <w:rFonts w:ascii="Times New Roman" w:hAnsi="Times New Roman" w:cs="Times New Roman"/>
          <w:sz w:val="24"/>
          <w:szCs w:val="24"/>
        </w:rPr>
        <w:t xml:space="preserve">schools in the for-profit college sector that keep students engaged by offering relevant coursework and internship opportunities. </w:t>
      </w:r>
    </w:p>
    <w:p w14:paraId="07323B6C" w14:textId="5D763523" w:rsidR="00A011F8" w:rsidRPr="00E74148" w:rsidRDefault="007B3A09" w:rsidP="009E17A5">
      <w:pPr>
        <w:spacing w:line="240" w:lineRule="auto"/>
        <w:ind w:firstLine="720"/>
        <w:rPr>
          <w:rFonts w:ascii="Times New Roman" w:hAnsi="Times New Roman" w:cs="Times New Roman"/>
          <w:sz w:val="24"/>
          <w:szCs w:val="24"/>
        </w:rPr>
      </w:pPr>
      <w:r>
        <w:rPr>
          <w:rFonts w:ascii="Times New Roman" w:hAnsi="Times New Roman" w:cs="Times New Roman"/>
          <w:sz w:val="24"/>
          <w:szCs w:val="24"/>
        </w:rPr>
        <w:t>To incentivize change</w:t>
      </w:r>
      <w:r w:rsidR="001C0115">
        <w:rPr>
          <w:rFonts w:ascii="Times New Roman" w:hAnsi="Times New Roman" w:cs="Times New Roman"/>
          <w:sz w:val="24"/>
          <w:szCs w:val="24"/>
        </w:rPr>
        <w:t>, p</w:t>
      </w:r>
      <w:r w:rsidR="00A011F8" w:rsidRPr="00E74148">
        <w:rPr>
          <w:rFonts w:ascii="Times New Roman" w:hAnsi="Times New Roman" w:cs="Times New Roman"/>
          <w:sz w:val="24"/>
          <w:szCs w:val="24"/>
        </w:rPr>
        <w:t>olicy</w:t>
      </w:r>
      <w:r w:rsidR="001C0115">
        <w:rPr>
          <w:rFonts w:ascii="Times New Roman" w:hAnsi="Times New Roman" w:cs="Times New Roman"/>
          <w:sz w:val="24"/>
          <w:szCs w:val="24"/>
        </w:rPr>
        <w:t xml:space="preserve">makers </w:t>
      </w:r>
      <w:r w:rsidR="00A011F8" w:rsidRPr="00E74148">
        <w:rPr>
          <w:rFonts w:ascii="Times New Roman" w:hAnsi="Times New Roman" w:cs="Times New Roman"/>
          <w:sz w:val="24"/>
          <w:szCs w:val="24"/>
        </w:rPr>
        <w:t xml:space="preserve">should reward </w:t>
      </w:r>
      <w:r w:rsidR="001C0115">
        <w:rPr>
          <w:rFonts w:ascii="Times New Roman" w:hAnsi="Times New Roman" w:cs="Times New Roman"/>
          <w:sz w:val="24"/>
          <w:szCs w:val="24"/>
        </w:rPr>
        <w:t xml:space="preserve">community colleges </w:t>
      </w:r>
      <w:r w:rsidR="00A011F8" w:rsidRPr="00E74148">
        <w:rPr>
          <w:rFonts w:ascii="Times New Roman" w:hAnsi="Times New Roman" w:cs="Times New Roman"/>
          <w:sz w:val="24"/>
          <w:szCs w:val="24"/>
        </w:rPr>
        <w:t xml:space="preserve">that adopt these </w:t>
      </w:r>
      <w:r w:rsidR="00060E5B">
        <w:rPr>
          <w:rFonts w:ascii="Times New Roman" w:hAnsi="Times New Roman" w:cs="Times New Roman"/>
          <w:sz w:val="24"/>
          <w:szCs w:val="24"/>
        </w:rPr>
        <w:t xml:space="preserve">proven </w:t>
      </w:r>
      <w:r w:rsidR="00A011F8" w:rsidRPr="00E74148">
        <w:rPr>
          <w:rFonts w:ascii="Times New Roman" w:hAnsi="Times New Roman" w:cs="Times New Roman"/>
          <w:sz w:val="24"/>
          <w:szCs w:val="24"/>
        </w:rPr>
        <w:t>strategies</w:t>
      </w:r>
      <w:r w:rsidR="008F7A96">
        <w:rPr>
          <w:rFonts w:ascii="Times New Roman" w:hAnsi="Times New Roman" w:cs="Times New Roman"/>
          <w:sz w:val="24"/>
          <w:szCs w:val="24"/>
        </w:rPr>
        <w:t>; p</w:t>
      </w:r>
      <w:r w:rsidR="00431817">
        <w:rPr>
          <w:rFonts w:ascii="Times New Roman" w:hAnsi="Times New Roman" w:cs="Times New Roman"/>
          <w:sz w:val="24"/>
          <w:szCs w:val="24"/>
        </w:rPr>
        <w:t xml:space="preserve">olicymakers should also </w:t>
      </w:r>
      <w:r w:rsidR="00F07385">
        <w:rPr>
          <w:rFonts w:ascii="Times New Roman" w:hAnsi="Times New Roman" w:cs="Times New Roman"/>
          <w:sz w:val="24"/>
          <w:szCs w:val="24"/>
        </w:rPr>
        <w:t xml:space="preserve">hold </w:t>
      </w:r>
      <w:r w:rsidR="00431817">
        <w:rPr>
          <w:rFonts w:ascii="Times New Roman" w:hAnsi="Times New Roman" w:cs="Times New Roman"/>
          <w:sz w:val="24"/>
          <w:szCs w:val="24"/>
        </w:rPr>
        <w:t xml:space="preserve">community colleges </w:t>
      </w:r>
      <w:r w:rsidR="00F07385">
        <w:rPr>
          <w:rFonts w:ascii="Times New Roman" w:hAnsi="Times New Roman" w:cs="Times New Roman"/>
          <w:sz w:val="24"/>
          <w:szCs w:val="24"/>
        </w:rPr>
        <w:t>more accountable</w:t>
      </w:r>
      <w:r w:rsidR="005417F0">
        <w:rPr>
          <w:rFonts w:ascii="Times New Roman" w:hAnsi="Times New Roman" w:cs="Times New Roman"/>
          <w:sz w:val="24"/>
          <w:szCs w:val="24"/>
        </w:rPr>
        <w:t xml:space="preserve"> for student outcomes</w:t>
      </w:r>
      <w:r w:rsidR="00F07385">
        <w:rPr>
          <w:rFonts w:ascii="Times New Roman" w:hAnsi="Times New Roman" w:cs="Times New Roman"/>
          <w:sz w:val="24"/>
          <w:szCs w:val="24"/>
        </w:rPr>
        <w:t xml:space="preserve"> by rewarding high-performing schools </w:t>
      </w:r>
      <w:r>
        <w:rPr>
          <w:rFonts w:ascii="Times New Roman" w:hAnsi="Times New Roman" w:cs="Times New Roman"/>
          <w:sz w:val="24"/>
          <w:szCs w:val="24"/>
        </w:rPr>
        <w:t xml:space="preserve">and </w:t>
      </w:r>
      <w:r w:rsidR="00F07385">
        <w:rPr>
          <w:rFonts w:ascii="Times New Roman" w:hAnsi="Times New Roman" w:cs="Times New Roman"/>
          <w:sz w:val="24"/>
          <w:szCs w:val="24"/>
        </w:rPr>
        <w:t>disciplining</w:t>
      </w:r>
      <w:r w:rsidR="00A011F8" w:rsidRPr="00E74148">
        <w:rPr>
          <w:rFonts w:ascii="Times New Roman" w:hAnsi="Times New Roman" w:cs="Times New Roman"/>
          <w:sz w:val="24"/>
          <w:szCs w:val="24"/>
        </w:rPr>
        <w:t xml:space="preserve"> </w:t>
      </w:r>
      <w:r>
        <w:rPr>
          <w:rFonts w:ascii="Times New Roman" w:hAnsi="Times New Roman" w:cs="Times New Roman"/>
          <w:sz w:val="24"/>
          <w:szCs w:val="24"/>
        </w:rPr>
        <w:t>low-</w:t>
      </w:r>
      <w:r w:rsidR="00A011F8" w:rsidRPr="00E74148">
        <w:rPr>
          <w:rFonts w:ascii="Times New Roman" w:hAnsi="Times New Roman" w:cs="Times New Roman"/>
          <w:sz w:val="24"/>
          <w:szCs w:val="24"/>
        </w:rPr>
        <w:t>performing</w:t>
      </w:r>
      <w:r w:rsidR="00431817">
        <w:rPr>
          <w:rFonts w:ascii="Times New Roman" w:hAnsi="Times New Roman" w:cs="Times New Roman"/>
          <w:sz w:val="24"/>
          <w:szCs w:val="24"/>
        </w:rPr>
        <w:t xml:space="preserve"> </w:t>
      </w:r>
      <w:r w:rsidR="005417F0">
        <w:rPr>
          <w:rFonts w:ascii="Times New Roman" w:hAnsi="Times New Roman" w:cs="Times New Roman"/>
          <w:sz w:val="24"/>
          <w:szCs w:val="24"/>
        </w:rPr>
        <w:t xml:space="preserve">schools. </w:t>
      </w:r>
      <w:r w:rsidR="001C0115">
        <w:rPr>
          <w:rFonts w:ascii="Times New Roman" w:hAnsi="Times New Roman" w:cs="Times New Roman"/>
          <w:sz w:val="24"/>
          <w:szCs w:val="24"/>
        </w:rPr>
        <w:t>In addition, p</w:t>
      </w:r>
      <w:r w:rsidR="00B46553">
        <w:rPr>
          <w:rFonts w:ascii="Times New Roman" w:hAnsi="Times New Roman" w:cs="Times New Roman"/>
          <w:sz w:val="24"/>
          <w:szCs w:val="24"/>
        </w:rPr>
        <w:t xml:space="preserve">olicymakers </w:t>
      </w:r>
      <w:r w:rsidR="001C0115">
        <w:rPr>
          <w:rFonts w:ascii="Times New Roman" w:hAnsi="Times New Roman" w:cs="Times New Roman"/>
          <w:sz w:val="24"/>
          <w:szCs w:val="24"/>
        </w:rPr>
        <w:t xml:space="preserve">should </w:t>
      </w:r>
      <w:r w:rsidR="00B46553">
        <w:rPr>
          <w:rFonts w:ascii="Times New Roman" w:hAnsi="Times New Roman" w:cs="Times New Roman"/>
          <w:sz w:val="24"/>
          <w:szCs w:val="24"/>
        </w:rPr>
        <w:t>enact changes to America’s student-</w:t>
      </w:r>
      <w:r w:rsidR="00204F73">
        <w:rPr>
          <w:rFonts w:ascii="Times New Roman" w:hAnsi="Times New Roman" w:cs="Times New Roman"/>
          <w:sz w:val="24"/>
          <w:szCs w:val="24"/>
        </w:rPr>
        <w:t>aid program to encourage</w:t>
      </w:r>
      <w:r w:rsidR="00A011F8" w:rsidRPr="00E74148">
        <w:rPr>
          <w:rFonts w:ascii="Times New Roman" w:hAnsi="Times New Roman" w:cs="Times New Roman"/>
          <w:sz w:val="24"/>
          <w:szCs w:val="24"/>
        </w:rPr>
        <w:t xml:space="preserve"> students to graduate on time.</w:t>
      </w:r>
      <w:r w:rsidR="00410DEF">
        <w:rPr>
          <w:rFonts w:ascii="Times New Roman" w:hAnsi="Times New Roman" w:cs="Times New Roman"/>
          <w:sz w:val="24"/>
          <w:szCs w:val="24"/>
        </w:rPr>
        <w:t xml:space="preserve"> Collectively</w:t>
      </w:r>
      <w:r w:rsidR="00A011F8" w:rsidRPr="00E74148">
        <w:rPr>
          <w:rFonts w:ascii="Times New Roman" w:hAnsi="Times New Roman" w:cs="Times New Roman"/>
          <w:sz w:val="24"/>
          <w:szCs w:val="24"/>
        </w:rPr>
        <w:t>,</w:t>
      </w:r>
      <w:r w:rsidR="00410DEF">
        <w:rPr>
          <w:rFonts w:ascii="Times New Roman" w:hAnsi="Times New Roman" w:cs="Times New Roman"/>
          <w:sz w:val="24"/>
          <w:szCs w:val="24"/>
        </w:rPr>
        <w:t xml:space="preserve"> such reforms</w:t>
      </w:r>
      <w:r w:rsidR="00A011F8" w:rsidRPr="00E74148">
        <w:rPr>
          <w:rFonts w:ascii="Times New Roman" w:hAnsi="Times New Roman" w:cs="Times New Roman"/>
          <w:sz w:val="24"/>
          <w:szCs w:val="24"/>
        </w:rPr>
        <w:t xml:space="preserve"> can </w:t>
      </w:r>
      <w:r w:rsidR="00B46553">
        <w:rPr>
          <w:rFonts w:ascii="Times New Roman" w:hAnsi="Times New Roman" w:cs="Times New Roman"/>
          <w:sz w:val="24"/>
          <w:szCs w:val="24"/>
        </w:rPr>
        <w:t xml:space="preserve">better </w:t>
      </w:r>
      <w:r w:rsidR="009E17A5">
        <w:rPr>
          <w:rFonts w:ascii="Times New Roman" w:hAnsi="Times New Roman" w:cs="Times New Roman"/>
          <w:sz w:val="24"/>
          <w:szCs w:val="24"/>
        </w:rPr>
        <w:t xml:space="preserve">maximize the sector’s </w:t>
      </w:r>
      <w:r w:rsidR="0003567A">
        <w:rPr>
          <w:rFonts w:ascii="Times New Roman" w:hAnsi="Times New Roman" w:cs="Times New Roman"/>
          <w:sz w:val="24"/>
          <w:szCs w:val="24"/>
        </w:rPr>
        <w:t>un</w:t>
      </w:r>
      <w:r w:rsidR="00582C52">
        <w:rPr>
          <w:rFonts w:ascii="Times New Roman" w:hAnsi="Times New Roman" w:cs="Times New Roman"/>
          <w:sz w:val="24"/>
          <w:szCs w:val="24"/>
        </w:rPr>
        <w:t>met</w:t>
      </w:r>
      <w:bookmarkStart w:id="0" w:name="_GoBack"/>
      <w:bookmarkEnd w:id="0"/>
      <w:r w:rsidR="0003567A">
        <w:rPr>
          <w:rFonts w:ascii="Times New Roman" w:hAnsi="Times New Roman" w:cs="Times New Roman"/>
          <w:sz w:val="24"/>
          <w:szCs w:val="24"/>
        </w:rPr>
        <w:t xml:space="preserve"> </w:t>
      </w:r>
      <w:r w:rsidR="009E17A5">
        <w:rPr>
          <w:rFonts w:ascii="Times New Roman" w:hAnsi="Times New Roman" w:cs="Times New Roman"/>
          <w:sz w:val="24"/>
          <w:szCs w:val="24"/>
        </w:rPr>
        <w:t>promise.</w:t>
      </w:r>
    </w:p>
    <w:p w14:paraId="2D1E4D84" w14:textId="77777777" w:rsidR="00A011F8" w:rsidRPr="00E74148" w:rsidRDefault="00A011F8" w:rsidP="00E74148">
      <w:pPr>
        <w:spacing w:line="240" w:lineRule="auto"/>
        <w:rPr>
          <w:rFonts w:ascii="Times New Roman" w:hAnsi="Times New Roman" w:cs="Times New Roman"/>
          <w:sz w:val="24"/>
          <w:szCs w:val="24"/>
        </w:rPr>
      </w:pPr>
    </w:p>
    <w:p w14:paraId="7E908C07" w14:textId="77777777" w:rsidR="00A011F8" w:rsidRPr="00170EE5" w:rsidRDefault="00170EE5" w:rsidP="00E74148">
      <w:pPr>
        <w:spacing w:line="240" w:lineRule="auto"/>
        <w:rPr>
          <w:rFonts w:ascii="Times New Roman" w:hAnsi="Times New Roman" w:cs="Times New Roman"/>
          <w:b/>
          <w:sz w:val="24"/>
          <w:szCs w:val="24"/>
        </w:rPr>
      </w:pPr>
      <w:r w:rsidRPr="00170EE5">
        <w:rPr>
          <w:rFonts w:ascii="Times New Roman" w:hAnsi="Times New Roman" w:cs="Times New Roman"/>
          <w:b/>
          <w:sz w:val="24"/>
          <w:szCs w:val="24"/>
        </w:rPr>
        <w:t>I</w:t>
      </w:r>
      <w:r w:rsidR="00A011F8" w:rsidRPr="00170EE5">
        <w:rPr>
          <w:rFonts w:ascii="Times New Roman" w:hAnsi="Times New Roman" w:cs="Times New Roman"/>
          <w:b/>
          <w:sz w:val="24"/>
          <w:szCs w:val="24"/>
        </w:rPr>
        <w:t xml:space="preserve">. </w:t>
      </w:r>
      <w:r w:rsidRPr="00170EE5">
        <w:rPr>
          <w:rFonts w:ascii="Times New Roman" w:hAnsi="Times New Roman" w:cs="Times New Roman"/>
          <w:b/>
          <w:sz w:val="24"/>
          <w:szCs w:val="24"/>
        </w:rPr>
        <w:t>Introduction</w:t>
      </w:r>
    </w:p>
    <w:p w14:paraId="0A58E8E6" w14:textId="77777777" w:rsidR="00A011F8" w:rsidRPr="00E74148" w:rsidRDefault="00B46553" w:rsidP="00E74148">
      <w:pPr>
        <w:spacing w:line="240" w:lineRule="auto"/>
        <w:rPr>
          <w:rFonts w:ascii="Times New Roman" w:hAnsi="Times New Roman" w:cs="Times New Roman"/>
          <w:sz w:val="24"/>
          <w:szCs w:val="24"/>
        </w:rPr>
      </w:pPr>
      <w:r>
        <w:rPr>
          <w:rFonts w:ascii="Times New Roman" w:hAnsi="Times New Roman" w:cs="Times New Roman"/>
          <w:sz w:val="24"/>
          <w:szCs w:val="24"/>
        </w:rPr>
        <w:t>U.S. c</w:t>
      </w:r>
      <w:r w:rsidR="00A011F8" w:rsidRPr="00E74148">
        <w:rPr>
          <w:rFonts w:ascii="Times New Roman" w:hAnsi="Times New Roman" w:cs="Times New Roman"/>
          <w:sz w:val="24"/>
          <w:szCs w:val="24"/>
        </w:rPr>
        <w:t>ommunity colleges are two-yea</w:t>
      </w:r>
      <w:r>
        <w:rPr>
          <w:rFonts w:ascii="Times New Roman" w:hAnsi="Times New Roman" w:cs="Times New Roman"/>
          <w:sz w:val="24"/>
          <w:szCs w:val="24"/>
        </w:rPr>
        <w:t>r</w:t>
      </w:r>
      <w:r w:rsidR="00434D61">
        <w:rPr>
          <w:rFonts w:ascii="Times New Roman" w:hAnsi="Times New Roman" w:cs="Times New Roman"/>
          <w:sz w:val="24"/>
          <w:szCs w:val="24"/>
        </w:rPr>
        <w:t>, not-for-profit</w:t>
      </w:r>
      <w:r>
        <w:rPr>
          <w:rFonts w:ascii="Times New Roman" w:hAnsi="Times New Roman" w:cs="Times New Roman"/>
          <w:sz w:val="24"/>
          <w:szCs w:val="24"/>
        </w:rPr>
        <w:t xml:space="preserve"> public colleges geared toward</w:t>
      </w:r>
      <w:r w:rsidR="00A011F8" w:rsidRPr="00E74148">
        <w:rPr>
          <w:rFonts w:ascii="Times New Roman" w:hAnsi="Times New Roman" w:cs="Times New Roman"/>
          <w:sz w:val="24"/>
          <w:szCs w:val="24"/>
        </w:rPr>
        <w:t xml:space="preserve"> students who wish to transfer to four-year institutions or obtain specific skills. </w:t>
      </w:r>
      <w:r>
        <w:rPr>
          <w:rFonts w:ascii="Times New Roman" w:hAnsi="Times New Roman" w:cs="Times New Roman"/>
          <w:sz w:val="24"/>
          <w:szCs w:val="24"/>
        </w:rPr>
        <w:t>They typically grant associate’</w:t>
      </w:r>
      <w:r w:rsidR="00A011F8" w:rsidRPr="00E74148">
        <w:rPr>
          <w:rFonts w:ascii="Times New Roman" w:hAnsi="Times New Roman" w:cs="Times New Roman"/>
          <w:sz w:val="24"/>
          <w:szCs w:val="24"/>
        </w:rPr>
        <w:t>s degrees</w:t>
      </w:r>
      <w:r>
        <w:rPr>
          <w:rFonts w:ascii="Times New Roman" w:hAnsi="Times New Roman" w:cs="Times New Roman"/>
          <w:sz w:val="24"/>
          <w:szCs w:val="24"/>
        </w:rPr>
        <w:t>,</w:t>
      </w:r>
      <w:r w:rsidR="00A011F8" w:rsidRPr="00E74148">
        <w:rPr>
          <w:rFonts w:ascii="Times New Roman" w:hAnsi="Times New Roman" w:cs="Times New Roman"/>
          <w:sz w:val="24"/>
          <w:szCs w:val="24"/>
        </w:rPr>
        <w:t xml:space="preserve"> with the intent that students </w:t>
      </w:r>
      <w:r>
        <w:rPr>
          <w:rFonts w:ascii="Times New Roman" w:hAnsi="Times New Roman" w:cs="Times New Roman"/>
          <w:sz w:val="24"/>
          <w:szCs w:val="24"/>
        </w:rPr>
        <w:t>will eventually obtain bachelor’</w:t>
      </w:r>
      <w:r w:rsidR="00A011F8" w:rsidRPr="00E74148">
        <w:rPr>
          <w:rFonts w:ascii="Times New Roman" w:hAnsi="Times New Roman" w:cs="Times New Roman"/>
          <w:sz w:val="24"/>
          <w:szCs w:val="24"/>
        </w:rPr>
        <w:t xml:space="preserve">s degrees. Community </w:t>
      </w:r>
      <w:r w:rsidR="00A011F8" w:rsidRPr="00E74148">
        <w:rPr>
          <w:rFonts w:ascii="Times New Roman" w:hAnsi="Times New Roman" w:cs="Times New Roman"/>
          <w:sz w:val="24"/>
          <w:szCs w:val="24"/>
        </w:rPr>
        <w:lastRenderedPageBreak/>
        <w:t>colleges te</w:t>
      </w:r>
      <w:r w:rsidR="00F96E6E">
        <w:rPr>
          <w:rFonts w:ascii="Times New Roman" w:hAnsi="Times New Roman" w:cs="Times New Roman"/>
          <w:sz w:val="24"/>
          <w:szCs w:val="24"/>
        </w:rPr>
        <w:t>nd to offer vocational training;</w:t>
      </w:r>
      <w:r w:rsidR="00A011F8" w:rsidRPr="00E74148">
        <w:rPr>
          <w:rFonts w:ascii="Times New Roman" w:hAnsi="Times New Roman" w:cs="Times New Roman"/>
          <w:sz w:val="24"/>
          <w:szCs w:val="24"/>
        </w:rPr>
        <w:t xml:space="preserve"> a subset, </w:t>
      </w:r>
      <w:r w:rsidR="00F96E6E">
        <w:rPr>
          <w:rFonts w:ascii="Times New Roman" w:hAnsi="Times New Roman" w:cs="Times New Roman"/>
          <w:sz w:val="24"/>
          <w:szCs w:val="24"/>
        </w:rPr>
        <w:t>“</w:t>
      </w:r>
      <w:r w:rsidR="00A011F8" w:rsidRPr="00E74148">
        <w:rPr>
          <w:rFonts w:ascii="Times New Roman" w:hAnsi="Times New Roman" w:cs="Times New Roman"/>
          <w:sz w:val="24"/>
          <w:szCs w:val="24"/>
        </w:rPr>
        <w:t>technical colleges,</w:t>
      </w:r>
      <w:r w:rsidR="00F96E6E">
        <w:rPr>
          <w:rFonts w:ascii="Times New Roman" w:hAnsi="Times New Roman" w:cs="Times New Roman"/>
          <w:sz w:val="24"/>
          <w:szCs w:val="24"/>
        </w:rPr>
        <w:t>”</w:t>
      </w:r>
      <w:r w:rsidR="00A011F8" w:rsidRPr="00E74148">
        <w:rPr>
          <w:rFonts w:ascii="Times New Roman" w:hAnsi="Times New Roman" w:cs="Times New Roman"/>
          <w:sz w:val="24"/>
          <w:szCs w:val="24"/>
        </w:rPr>
        <w:t xml:space="preserve"> stress career education and offer certif</w:t>
      </w:r>
      <w:r w:rsidR="00176ED5">
        <w:rPr>
          <w:rFonts w:ascii="Times New Roman" w:hAnsi="Times New Roman" w:cs="Times New Roman"/>
          <w:sz w:val="24"/>
          <w:szCs w:val="24"/>
        </w:rPr>
        <w:t>icates</w:t>
      </w:r>
      <w:r w:rsidR="00F96E6E">
        <w:rPr>
          <w:rFonts w:ascii="Times New Roman" w:hAnsi="Times New Roman" w:cs="Times New Roman"/>
          <w:sz w:val="24"/>
          <w:szCs w:val="24"/>
        </w:rPr>
        <w:t xml:space="preserve"> as well as associate’</w:t>
      </w:r>
      <w:r w:rsidR="00A011F8" w:rsidRPr="00E74148">
        <w:rPr>
          <w:rFonts w:ascii="Times New Roman" w:hAnsi="Times New Roman" w:cs="Times New Roman"/>
          <w:sz w:val="24"/>
          <w:szCs w:val="24"/>
        </w:rPr>
        <w:t>s degrees.</w:t>
      </w:r>
      <w:r w:rsidR="00A011F8" w:rsidRPr="00E74148">
        <w:rPr>
          <w:rFonts w:ascii="Times New Roman" w:hAnsi="Times New Roman" w:cs="Times New Roman"/>
          <w:sz w:val="24"/>
          <w:szCs w:val="24"/>
          <w:vertAlign w:val="superscript"/>
        </w:rPr>
        <w:footnoteReference w:id="5"/>
      </w:r>
      <w:r w:rsidR="00A011F8" w:rsidRPr="00E74148">
        <w:rPr>
          <w:rFonts w:ascii="Times New Roman" w:hAnsi="Times New Roman" w:cs="Times New Roman"/>
          <w:sz w:val="24"/>
          <w:szCs w:val="24"/>
        </w:rPr>
        <w:t xml:space="preserve"> </w:t>
      </w:r>
    </w:p>
    <w:p w14:paraId="0FEB78E1" w14:textId="2A145992" w:rsidR="00A011F8" w:rsidRPr="00E74148" w:rsidRDefault="00A86FA6" w:rsidP="00F96E6E">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America’s community </w:t>
      </w:r>
      <w:r w:rsidR="00A011F8" w:rsidRPr="00E74148">
        <w:rPr>
          <w:rFonts w:ascii="Times New Roman" w:hAnsi="Times New Roman" w:cs="Times New Roman"/>
          <w:sz w:val="24"/>
          <w:szCs w:val="24"/>
        </w:rPr>
        <w:t xml:space="preserve">college sector is </w:t>
      </w:r>
      <w:r w:rsidR="00F96E6E">
        <w:rPr>
          <w:rFonts w:ascii="Times New Roman" w:hAnsi="Times New Roman" w:cs="Times New Roman"/>
          <w:sz w:val="24"/>
          <w:szCs w:val="24"/>
        </w:rPr>
        <w:t xml:space="preserve">a </w:t>
      </w:r>
      <w:r w:rsidR="00A011F8" w:rsidRPr="00E74148">
        <w:rPr>
          <w:rFonts w:ascii="Times New Roman" w:hAnsi="Times New Roman" w:cs="Times New Roman"/>
          <w:sz w:val="24"/>
          <w:szCs w:val="24"/>
        </w:rPr>
        <w:t>particularly attractive option</w:t>
      </w:r>
      <w:r w:rsidR="00F96E6E">
        <w:rPr>
          <w:rFonts w:ascii="Times New Roman" w:hAnsi="Times New Roman" w:cs="Times New Roman"/>
          <w:sz w:val="24"/>
          <w:szCs w:val="24"/>
        </w:rPr>
        <w:t xml:space="preserve"> for students</w:t>
      </w:r>
      <w:r w:rsidR="00176ED5">
        <w:rPr>
          <w:rFonts w:ascii="Times New Roman" w:hAnsi="Times New Roman" w:cs="Times New Roman"/>
          <w:sz w:val="24"/>
          <w:szCs w:val="24"/>
        </w:rPr>
        <w:t xml:space="preserve"> </w:t>
      </w:r>
      <w:r w:rsidR="00936F6A">
        <w:rPr>
          <w:rFonts w:ascii="Times New Roman" w:hAnsi="Times New Roman" w:cs="Times New Roman"/>
          <w:sz w:val="24"/>
          <w:szCs w:val="24"/>
        </w:rPr>
        <w:t xml:space="preserve">who are </w:t>
      </w:r>
      <w:r w:rsidR="00176ED5">
        <w:rPr>
          <w:rFonts w:ascii="Times New Roman" w:hAnsi="Times New Roman" w:cs="Times New Roman"/>
          <w:sz w:val="24"/>
          <w:szCs w:val="24"/>
        </w:rPr>
        <w:t>underrepresented at four-year colleges</w:t>
      </w:r>
      <w:r w:rsidR="00936F6A">
        <w:rPr>
          <w:rFonts w:ascii="Times New Roman" w:hAnsi="Times New Roman" w:cs="Times New Roman"/>
          <w:sz w:val="24"/>
          <w:szCs w:val="24"/>
        </w:rPr>
        <w:t>. T</w:t>
      </w:r>
      <w:r w:rsidR="00A011F8" w:rsidRPr="00E74148">
        <w:rPr>
          <w:rFonts w:ascii="Times New Roman" w:hAnsi="Times New Roman" w:cs="Times New Roman"/>
          <w:sz w:val="24"/>
          <w:szCs w:val="24"/>
        </w:rPr>
        <w:t>he</w:t>
      </w:r>
      <w:r w:rsidR="00F96E6E">
        <w:rPr>
          <w:rFonts w:ascii="Times New Roman" w:hAnsi="Times New Roman" w:cs="Times New Roman"/>
          <w:sz w:val="24"/>
          <w:szCs w:val="24"/>
        </w:rPr>
        <w:t xml:space="preserve"> overwhelming majority</w:t>
      </w:r>
      <w:r w:rsidR="00A011F8" w:rsidRPr="00E74148">
        <w:rPr>
          <w:rFonts w:ascii="Times New Roman" w:hAnsi="Times New Roman" w:cs="Times New Roman"/>
          <w:sz w:val="24"/>
          <w:szCs w:val="24"/>
        </w:rPr>
        <w:t xml:space="preserve"> of community colleges have open admissions policies</w:t>
      </w:r>
      <w:r w:rsidR="00936F6A">
        <w:rPr>
          <w:rFonts w:ascii="Times New Roman" w:hAnsi="Times New Roman" w:cs="Times New Roman"/>
          <w:sz w:val="24"/>
          <w:szCs w:val="24"/>
        </w:rPr>
        <w:t>.</w:t>
      </w:r>
      <w:r w:rsidR="00A011F8" w:rsidRPr="00E74148">
        <w:rPr>
          <w:rFonts w:ascii="Times New Roman" w:hAnsi="Times New Roman" w:cs="Times New Roman"/>
          <w:sz w:val="24"/>
          <w:szCs w:val="24"/>
          <w:vertAlign w:val="superscript"/>
        </w:rPr>
        <w:footnoteReference w:id="6"/>
      </w:r>
      <w:r w:rsidR="00936F6A">
        <w:rPr>
          <w:rFonts w:ascii="Times New Roman" w:hAnsi="Times New Roman" w:cs="Times New Roman"/>
          <w:sz w:val="24"/>
          <w:szCs w:val="24"/>
        </w:rPr>
        <w:t xml:space="preserve"> O</w:t>
      </w:r>
      <w:r w:rsidR="00A011F8" w:rsidRPr="00E74148">
        <w:rPr>
          <w:rFonts w:ascii="Times New Roman" w:hAnsi="Times New Roman" w:cs="Times New Roman"/>
          <w:sz w:val="24"/>
          <w:szCs w:val="24"/>
        </w:rPr>
        <w:t xml:space="preserve">f </w:t>
      </w:r>
      <w:r w:rsidR="00F96E6E">
        <w:rPr>
          <w:rFonts w:ascii="Times New Roman" w:hAnsi="Times New Roman" w:cs="Times New Roman"/>
          <w:sz w:val="24"/>
          <w:szCs w:val="24"/>
        </w:rPr>
        <w:t xml:space="preserve">U.S. </w:t>
      </w:r>
      <w:r w:rsidR="00A011F8" w:rsidRPr="00E74148">
        <w:rPr>
          <w:rFonts w:ascii="Times New Roman" w:hAnsi="Times New Roman" w:cs="Times New Roman"/>
          <w:sz w:val="24"/>
          <w:szCs w:val="24"/>
        </w:rPr>
        <w:t>higher-ed sector</w:t>
      </w:r>
      <w:r w:rsidR="00936F6A">
        <w:rPr>
          <w:rFonts w:ascii="Times New Roman" w:hAnsi="Times New Roman" w:cs="Times New Roman"/>
          <w:sz w:val="24"/>
          <w:szCs w:val="24"/>
        </w:rPr>
        <w:t xml:space="preserve">s, </w:t>
      </w:r>
      <w:r w:rsidR="00A46713">
        <w:rPr>
          <w:rFonts w:ascii="Times New Roman" w:hAnsi="Times New Roman" w:cs="Times New Roman"/>
          <w:sz w:val="24"/>
          <w:szCs w:val="24"/>
        </w:rPr>
        <w:t xml:space="preserve">community </w:t>
      </w:r>
      <w:r w:rsidR="007315A0">
        <w:rPr>
          <w:rFonts w:ascii="Times New Roman" w:hAnsi="Times New Roman" w:cs="Times New Roman"/>
          <w:sz w:val="24"/>
          <w:szCs w:val="24"/>
        </w:rPr>
        <w:t>coll</w:t>
      </w:r>
      <w:r w:rsidR="00936F6A">
        <w:rPr>
          <w:rFonts w:ascii="Times New Roman" w:hAnsi="Times New Roman" w:cs="Times New Roman"/>
          <w:sz w:val="24"/>
          <w:szCs w:val="24"/>
        </w:rPr>
        <w:t>eges enjoy</w:t>
      </w:r>
      <w:r w:rsidR="00A011F8" w:rsidRPr="00E74148">
        <w:rPr>
          <w:rFonts w:ascii="Times New Roman" w:hAnsi="Times New Roman" w:cs="Times New Roman"/>
          <w:sz w:val="24"/>
          <w:szCs w:val="24"/>
        </w:rPr>
        <w:t xml:space="preserve"> the</w:t>
      </w:r>
      <w:hyperlink r:id="rId8">
        <w:r w:rsidR="00A011F8" w:rsidRPr="00E74148">
          <w:rPr>
            <w:rFonts w:ascii="Times New Roman" w:hAnsi="Times New Roman" w:cs="Times New Roman"/>
            <w:sz w:val="24"/>
            <w:szCs w:val="24"/>
          </w:rPr>
          <w:t xml:space="preserve"> </w:t>
        </w:r>
      </w:hyperlink>
      <w:r w:rsidR="007315A0">
        <w:rPr>
          <w:rFonts w:ascii="Times New Roman" w:hAnsi="Times New Roman" w:cs="Times New Roman"/>
          <w:sz w:val="24"/>
          <w:szCs w:val="24"/>
        </w:rPr>
        <w:t xml:space="preserve">lowest average cost </w:t>
      </w:r>
      <w:r w:rsidR="00A011F8" w:rsidRPr="00E74148">
        <w:rPr>
          <w:rFonts w:ascii="Times New Roman" w:hAnsi="Times New Roman" w:cs="Times New Roman"/>
          <w:sz w:val="24"/>
          <w:szCs w:val="24"/>
        </w:rPr>
        <w:t xml:space="preserve">for students living on campus ($13,277), </w:t>
      </w:r>
      <w:r w:rsidR="00FD20A1">
        <w:rPr>
          <w:rFonts w:ascii="Times New Roman" w:hAnsi="Times New Roman" w:cs="Times New Roman"/>
          <w:sz w:val="24"/>
          <w:szCs w:val="24"/>
        </w:rPr>
        <w:t xml:space="preserve">for students </w:t>
      </w:r>
      <w:r w:rsidR="00A011F8" w:rsidRPr="00E74148">
        <w:rPr>
          <w:rFonts w:ascii="Times New Roman" w:hAnsi="Times New Roman" w:cs="Times New Roman"/>
          <w:sz w:val="24"/>
          <w:szCs w:val="24"/>
        </w:rPr>
        <w:t xml:space="preserve">living off-campus </w:t>
      </w:r>
      <w:r w:rsidR="00FD20A1">
        <w:rPr>
          <w:rFonts w:ascii="Times New Roman" w:hAnsi="Times New Roman" w:cs="Times New Roman"/>
          <w:sz w:val="24"/>
          <w:szCs w:val="24"/>
        </w:rPr>
        <w:t xml:space="preserve">with family ($8,339), and for students </w:t>
      </w:r>
      <w:r w:rsidR="00A011F8" w:rsidRPr="00E74148">
        <w:rPr>
          <w:rFonts w:ascii="Times New Roman" w:hAnsi="Times New Roman" w:cs="Times New Roman"/>
          <w:sz w:val="24"/>
          <w:szCs w:val="24"/>
        </w:rPr>
        <w:t>living off-campus with</w:t>
      </w:r>
      <w:r w:rsidR="00936F6A">
        <w:rPr>
          <w:rFonts w:ascii="Times New Roman" w:hAnsi="Times New Roman" w:cs="Times New Roman"/>
          <w:sz w:val="24"/>
          <w:szCs w:val="24"/>
        </w:rPr>
        <w:t>out</w:t>
      </w:r>
      <w:r w:rsidR="00A011F8" w:rsidRPr="00E74148">
        <w:rPr>
          <w:rFonts w:ascii="Times New Roman" w:hAnsi="Times New Roman" w:cs="Times New Roman"/>
          <w:sz w:val="24"/>
          <w:szCs w:val="24"/>
        </w:rPr>
        <w:t xml:space="preserve"> family ($15,896)</w:t>
      </w:r>
      <w:r w:rsidR="00936F6A">
        <w:rPr>
          <w:rFonts w:ascii="Times New Roman" w:hAnsi="Times New Roman" w:cs="Times New Roman"/>
          <w:sz w:val="24"/>
          <w:szCs w:val="24"/>
        </w:rPr>
        <w:t>.</w:t>
      </w:r>
      <w:r w:rsidR="00A011F8" w:rsidRPr="00E74148">
        <w:rPr>
          <w:rFonts w:ascii="Times New Roman" w:hAnsi="Times New Roman" w:cs="Times New Roman"/>
          <w:sz w:val="24"/>
          <w:szCs w:val="24"/>
          <w:vertAlign w:val="superscript"/>
        </w:rPr>
        <w:footnoteReference w:id="7"/>
      </w:r>
      <w:r w:rsidR="00A011F8" w:rsidRPr="00E74148">
        <w:rPr>
          <w:rFonts w:ascii="Times New Roman" w:hAnsi="Times New Roman" w:cs="Times New Roman"/>
          <w:sz w:val="24"/>
          <w:szCs w:val="24"/>
        </w:rPr>
        <w:t xml:space="preserve"> </w:t>
      </w:r>
      <w:r w:rsidR="00A46713">
        <w:rPr>
          <w:rFonts w:ascii="Times New Roman" w:hAnsi="Times New Roman" w:cs="Times New Roman"/>
          <w:sz w:val="24"/>
          <w:szCs w:val="24"/>
        </w:rPr>
        <w:t>T</w:t>
      </w:r>
      <w:r w:rsidR="00A011F8" w:rsidRPr="00E74148">
        <w:rPr>
          <w:rFonts w:ascii="Times New Roman" w:hAnsi="Times New Roman" w:cs="Times New Roman"/>
          <w:sz w:val="24"/>
          <w:szCs w:val="24"/>
        </w:rPr>
        <w:t>he net cost of</w:t>
      </w:r>
      <w:r w:rsidR="00AF672F">
        <w:rPr>
          <w:rFonts w:ascii="Times New Roman" w:hAnsi="Times New Roman" w:cs="Times New Roman"/>
          <w:sz w:val="24"/>
          <w:szCs w:val="24"/>
        </w:rPr>
        <w:t xml:space="preserve"> attending </w:t>
      </w:r>
      <w:r w:rsidR="00936F6A">
        <w:rPr>
          <w:rFonts w:ascii="Times New Roman" w:hAnsi="Times New Roman" w:cs="Times New Roman"/>
          <w:sz w:val="24"/>
          <w:szCs w:val="24"/>
        </w:rPr>
        <w:t xml:space="preserve">a </w:t>
      </w:r>
      <w:r w:rsidR="00AF672F">
        <w:rPr>
          <w:rFonts w:ascii="Times New Roman" w:hAnsi="Times New Roman" w:cs="Times New Roman"/>
          <w:sz w:val="24"/>
          <w:szCs w:val="24"/>
        </w:rPr>
        <w:t>community college—unlike</w:t>
      </w:r>
      <w:r w:rsidR="00936F6A">
        <w:rPr>
          <w:rFonts w:ascii="Times New Roman" w:hAnsi="Times New Roman" w:cs="Times New Roman"/>
          <w:sz w:val="24"/>
          <w:szCs w:val="24"/>
        </w:rPr>
        <w:t xml:space="preserve"> the cost of attending</w:t>
      </w:r>
      <w:r w:rsidR="00AF672F">
        <w:rPr>
          <w:rFonts w:ascii="Times New Roman" w:hAnsi="Times New Roman" w:cs="Times New Roman"/>
          <w:sz w:val="24"/>
          <w:szCs w:val="24"/>
        </w:rPr>
        <w:t xml:space="preserve"> </w:t>
      </w:r>
      <w:r w:rsidR="00936F6A">
        <w:rPr>
          <w:rFonts w:ascii="Times New Roman" w:hAnsi="Times New Roman" w:cs="Times New Roman"/>
          <w:sz w:val="24"/>
          <w:szCs w:val="24"/>
        </w:rPr>
        <w:t xml:space="preserve">a </w:t>
      </w:r>
      <w:r w:rsidR="00AF672F">
        <w:rPr>
          <w:rFonts w:ascii="Times New Roman" w:hAnsi="Times New Roman" w:cs="Times New Roman"/>
          <w:sz w:val="24"/>
          <w:szCs w:val="24"/>
        </w:rPr>
        <w:t xml:space="preserve">public </w:t>
      </w:r>
      <w:r w:rsidR="00936F6A">
        <w:rPr>
          <w:rFonts w:ascii="Times New Roman" w:hAnsi="Times New Roman" w:cs="Times New Roman"/>
          <w:sz w:val="24"/>
          <w:szCs w:val="24"/>
        </w:rPr>
        <w:t xml:space="preserve">or </w:t>
      </w:r>
      <w:r w:rsidR="00F15851">
        <w:rPr>
          <w:rFonts w:ascii="Times New Roman" w:hAnsi="Times New Roman" w:cs="Times New Roman"/>
          <w:sz w:val="24"/>
          <w:szCs w:val="24"/>
        </w:rPr>
        <w:t>private four-year college</w:t>
      </w:r>
      <w:r w:rsidR="00AF672F">
        <w:rPr>
          <w:rFonts w:ascii="Times New Roman" w:hAnsi="Times New Roman" w:cs="Times New Roman"/>
          <w:sz w:val="24"/>
          <w:szCs w:val="24"/>
        </w:rPr>
        <w:t>—</w:t>
      </w:r>
      <w:r w:rsidR="00A011F8" w:rsidRPr="00E74148">
        <w:rPr>
          <w:rFonts w:ascii="Times New Roman" w:hAnsi="Times New Roman" w:cs="Times New Roman"/>
          <w:sz w:val="24"/>
          <w:szCs w:val="24"/>
        </w:rPr>
        <w:t>has declined</w:t>
      </w:r>
      <w:r w:rsidR="00AF672F">
        <w:rPr>
          <w:rFonts w:ascii="Times New Roman" w:hAnsi="Times New Roman" w:cs="Times New Roman"/>
          <w:sz w:val="24"/>
          <w:szCs w:val="24"/>
        </w:rPr>
        <w:t xml:space="preserve"> by more than 20 percent since </w:t>
      </w:r>
      <w:r w:rsidR="008F319B">
        <w:rPr>
          <w:rFonts w:ascii="Times New Roman" w:hAnsi="Times New Roman" w:cs="Times New Roman"/>
          <w:sz w:val="24"/>
          <w:szCs w:val="24"/>
        </w:rPr>
        <w:t xml:space="preserve">the </w:t>
      </w:r>
      <w:r w:rsidR="00AF672F">
        <w:rPr>
          <w:rFonts w:ascii="Times New Roman" w:hAnsi="Times New Roman" w:cs="Times New Roman"/>
          <w:sz w:val="24"/>
          <w:szCs w:val="24"/>
        </w:rPr>
        <w:t>200</w:t>
      </w:r>
      <w:r w:rsidR="00B91356">
        <w:rPr>
          <w:rFonts w:ascii="Times New Roman" w:hAnsi="Times New Roman" w:cs="Times New Roman"/>
          <w:sz w:val="24"/>
          <w:szCs w:val="24"/>
        </w:rPr>
        <w:t>4–0</w:t>
      </w:r>
      <w:r w:rsidR="00AF672F">
        <w:rPr>
          <w:rFonts w:ascii="Times New Roman" w:hAnsi="Times New Roman" w:cs="Times New Roman"/>
          <w:sz w:val="24"/>
          <w:szCs w:val="24"/>
        </w:rPr>
        <w:t>5</w:t>
      </w:r>
      <w:r w:rsidR="008F319B">
        <w:rPr>
          <w:rFonts w:ascii="Times New Roman" w:hAnsi="Times New Roman" w:cs="Times New Roman"/>
          <w:sz w:val="24"/>
          <w:szCs w:val="24"/>
        </w:rPr>
        <w:t xml:space="preserve"> school year (</w:t>
      </w:r>
      <w:r w:rsidR="008F319B" w:rsidRPr="008F319B">
        <w:rPr>
          <w:rFonts w:ascii="Times New Roman" w:hAnsi="Times New Roman" w:cs="Times New Roman"/>
          <w:b/>
          <w:sz w:val="24"/>
          <w:szCs w:val="24"/>
        </w:rPr>
        <w:t>Figure 1</w:t>
      </w:r>
      <w:r w:rsidR="008F319B">
        <w:rPr>
          <w:rFonts w:ascii="Times New Roman" w:hAnsi="Times New Roman" w:cs="Times New Roman"/>
          <w:sz w:val="24"/>
          <w:szCs w:val="24"/>
        </w:rPr>
        <w:t>)</w:t>
      </w:r>
      <w:r w:rsidR="00A011F8" w:rsidRPr="00E74148">
        <w:rPr>
          <w:rFonts w:ascii="Times New Roman" w:hAnsi="Times New Roman" w:cs="Times New Roman"/>
          <w:sz w:val="24"/>
          <w:szCs w:val="24"/>
        </w:rPr>
        <w:t>.</w:t>
      </w:r>
      <w:r w:rsidR="00A011F8" w:rsidRPr="00E74148">
        <w:rPr>
          <w:rFonts w:ascii="Times New Roman" w:hAnsi="Times New Roman" w:cs="Times New Roman"/>
          <w:sz w:val="24"/>
          <w:szCs w:val="24"/>
          <w:vertAlign w:val="superscript"/>
        </w:rPr>
        <w:footnoteReference w:id="8"/>
      </w:r>
    </w:p>
    <w:p w14:paraId="5789017D" w14:textId="77777777" w:rsidR="00A011F8" w:rsidRDefault="00A011F8" w:rsidP="00E74148">
      <w:pPr>
        <w:spacing w:line="240" w:lineRule="auto"/>
        <w:rPr>
          <w:rFonts w:ascii="Times New Roman" w:hAnsi="Times New Roman" w:cs="Times New Roman"/>
          <w:sz w:val="24"/>
          <w:szCs w:val="24"/>
        </w:rPr>
      </w:pPr>
    </w:p>
    <w:p w14:paraId="3E0B09A1" w14:textId="52577625" w:rsidR="00B91356" w:rsidRPr="00B91356" w:rsidRDefault="00B91356" w:rsidP="00B91356">
      <w:pPr>
        <w:spacing w:line="240" w:lineRule="auto"/>
        <w:jc w:val="center"/>
        <w:rPr>
          <w:rFonts w:ascii="Times New Roman" w:hAnsi="Times New Roman" w:cs="Times New Roman"/>
          <w:b/>
          <w:sz w:val="24"/>
          <w:szCs w:val="24"/>
        </w:rPr>
      </w:pPr>
      <w:r w:rsidRPr="00B91356">
        <w:rPr>
          <w:rFonts w:ascii="Times New Roman" w:hAnsi="Times New Roman" w:cs="Times New Roman"/>
          <w:b/>
          <w:sz w:val="24"/>
          <w:szCs w:val="24"/>
        </w:rPr>
        <w:t xml:space="preserve">Figure 1. </w:t>
      </w:r>
      <w:r w:rsidR="00751FA0">
        <w:rPr>
          <w:rFonts w:ascii="Times New Roman" w:hAnsi="Times New Roman" w:cs="Times New Roman"/>
          <w:b/>
          <w:sz w:val="24"/>
          <w:szCs w:val="24"/>
        </w:rPr>
        <w:t xml:space="preserve">Net Cost of Attendance Since </w:t>
      </w:r>
      <w:r w:rsidR="005433AC">
        <w:rPr>
          <w:rFonts w:ascii="Times New Roman" w:hAnsi="Times New Roman" w:cs="Times New Roman"/>
          <w:b/>
          <w:sz w:val="24"/>
          <w:szCs w:val="24"/>
        </w:rPr>
        <w:t>2004–</w:t>
      </w:r>
      <w:r>
        <w:rPr>
          <w:rFonts w:ascii="Times New Roman" w:hAnsi="Times New Roman" w:cs="Times New Roman"/>
          <w:b/>
          <w:sz w:val="24"/>
          <w:szCs w:val="24"/>
        </w:rPr>
        <w:t>05</w:t>
      </w:r>
      <w:r w:rsidR="003414B2">
        <w:rPr>
          <w:rFonts w:ascii="Times New Roman" w:hAnsi="Times New Roman" w:cs="Times New Roman"/>
          <w:b/>
          <w:sz w:val="24"/>
          <w:szCs w:val="24"/>
        </w:rPr>
        <w:t>*</w:t>
      </w:r>
    </w:p>
    <w:p w14:paraId="487D2A92" w14:textId="42FAEEBC" w:rsidR="00A011F8" w:rsidRDefault="003414B2" w:rsidP="00E74148">
      <w:pPr>
        <w:spacing w:line="240" w:lineRule="auto"/>
        <w:jc w:val="center"/>
        <w:rPr>
          <w:rFonts w:ascii="Times New Roman" w:hAnsi="Times New Roman" w:cs="Times New Roman"/>
          <w:sz w:val="24"/>
          <w:szCs w:val="24"/>
        </w:rPr>
      </w:pPr>
      <w:r>
        <w:rPr>
          <w:noProof/>
        </w:rPr>
        <w:drawing>
          <wp:inline distT="0" distB="0" distL="0" distR="0" wp14:anchorId="2FA5735F" wp14:editId="7947CB84">
            <wp:extent cx="4648200" cy="3149600"/>
            <wp:effectExtent l="0" t="0" r="1905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5C5890" w14:textId="6E11CDB7" w:rsidR="003414B2" w:rsidRDefault="003414B2" w:rsidP="00E74148">
      <w:pPr>
        <w:spacing w:line="240" w:lineRule="auto"/>
        <w:jc w:val="center"/>
        <w:rPr>
          <w:rFonts w:ascii="Times New Roman" w:hAnsi="Times New Roman" w:cs="Times New Roman"/>
          <w:sz w:val="20"/>
        </w:rPr>
      </w:pPr>
      <w:r>
        <w:rPr>
          <w:rFonts w:ascii="Times New Roman" w:hAnsi="Times New Roman" w:cs="Times New Roman"/>
          <w:sz w:val="20"/>
        </w:rPr>
        <w:t>*Includes n</w:t>
      </w:r>
      <w:r w:rsidRPr="003414B2">
        <w:rPr>
          <w:rFonts w:ascii="Times New Roman" w:hAnsi="Times New Roman" w:cs="Times New Roman"/>
          <w:sz w:val="20"/>
        </w:rPr>
        <w:t>et tuition</w:t>
      </w:r>
      <w:r>
        <w:rPr>
          <w:rFonts w:ascii="Times New Roman" w:hAnsi="Times New Roman" w:cs="Times New Roman"/>
          <w:sz w:val="20"/>
        </w:rPr>
        <w:t xml:space="preserve">/fees, plus </w:t>
      </w:r>
      <w:r w:rsidRPr="003414B2">
        <w:rPr>
          <w:rFonts w:ascii="Times New Roman" w:hAnsi="Times New Roman" w:cs="Times New Roman"/>
          <w:sz w:val="20"/>
        </w:rPr>
        <w:t>room and board</w:t>
      </w:r>
      <w:r w:rsidR="00636C80">
        <w:rPr>
          <w:rFonts w:ascii="Times New Roman" w:hAnsi="Times New Roman" w:cs="Times New Roman"/>
          <w:sz w:val="20"/>
        </w:rPr>
        <w:t>.</w:t>
      </w:r>
    </w:p>
    <w:p w14:paraId="04D70F04" w14:textId="77777777" w:rsidR="000415E4" w:rsidRPr="000415E4" w:rsidRDefault="000415E4" w:rsidP="00E74148">
      <w:pPr>
        <w:spacing w:line="240" w:lineRule="auto"/>
        <w:jc w:val="center"/>
        <w:rPr>
          <w:rFonts w:ascii="Times New Roman" w:hAnsi="Times New Roman" w:cs="Times New Roman"/>
          <w:sz w:val="20"/>
        </w:rPr>
      </w:pPr>
      <w:r w:rsidRPr="000415E4">
        <w:rPr>
          <w:rFonts w:ascii="Times New Roman" w:hAnsi="Times New Roman" w:cs="Times New Roman"/>
          <w:sz w:val="20"/>
        </w:rPr>
        <w:t>Source: College Board</w:t>
      </w:r>
    </w:p>
    <w:p w14:paraId="4967B61D" w14:textId="77777777" w:rsidR="00A011F8" w:rsidRPr="00E74148" w:rsidRDefault="00A011F8" w:rsidP="00E74148">
      <w:pPr>
        <w:spacing w:line="240" w:lineRule="auto"/>
        <w:rPr>
          <w:rFonts w:ascii="Times New Roman" w:hAnsi="Times New Roman" w:cs="Times New Roman"/>
          <w:sz w:val="24"/>
          <w:szCs w:val="24"/>
        </w:rPr>
      </w:pPr>
    </w:p>
    <w:p w14:paraId="2AC25013" w14:textId="032480B7" w:rsidR="00A011F8" w:rsidRPr="00E74148" w:rsidRDefault="00A011F8" w:rsidP="000415E4">
      <w:pPr>
        <w:spacing w:line="240" w:lineRule="auto"/>
        <w:ind w:firstLine="720"/>
        <w:rPr>
          <w:rFonts w:ascii="Times New Roman" w:hAnsi="Times New Roman" w:cs="Times New Roman"/>
          <w:sz w:val="24"/>
          <w:szCs w:val="24"/>
        </w:rPr>
      </w:pPr>
      <w:r w:rsidRPr="00AE3A7D">
        <w:rPr>
          <w:rFonts w:ascii="Times New Roman" w:hAnsi="Times New Roman" w:cs="Times New Roman"/>
          <w:sz w:val="24"/>
          <w:szCs w:val="24"/>
        </w:rPr>
        <w:t>As a result, community</w:t>
      </w:r>
      <w:r w:rsidRPr="00E74148">
        <w:rPr>
          <w:rFonts w:ascii="Times New Roman" w:hAnsi="Times New Roman" w:cs="Times New Roman"/>
          <w:sz w:val="24"/>
          <w:szCs w:val="24"/>
        </w:rPr>
        <w:t xml:space="preserve"> colleges are</w:t>
      </w:r>
      <w:r w:rsidR="00EC6023">
        <w:rPr>
          <w:rFonts w:ascii="Times New Roman" w:hAnsi="Times New Roman" w:cs="Times New Roman"/>
          <w:sz w:val="24"/>
          <w:szCs w:val="24"/>
        </w:rPr>
        <w:t xml:space="preserve"> second only to for-profit colleges</w:t>
      </w:r>
      <w:r w:rsidRPr="00E74148">
        <w:rPr>
          <w:rFonts w:ascii="Times New Roman" w:hAnsi="Times New Roman" w:cs="Times New Roman"/>
          <w:sz w:val="24"/>
          <w:szCs w:val="24"/>
        </w:rPr>
        <w:t xml:space="preserve"> i</w:t>
      </w:r>
      <w:r w:rsidR="00B00D95">
        <w:rPr>
          <w:rFonts w:ascii="Times New Roman" w:hAnsi="Times New Roman" w:cs="Times New Roman"/>
          <w:sz w:val="24"/>
          <w:szCs w:val="24"/>
        </w:rPr>
        <w:t>n enrolling low-income students. In 2007–</w:t>
      </w:r>
      <w:r w:rsidR="001B7630" w:rsidRPr="00E74148">
        <w:rPr>
          <w:rFonts w:ascii="Times New Roman" w:hAnsi="Times New Roman" w:cs="Times New Roman"/>
          <w:sz w:val="24"/>
          <w:szCs w:val="24"/>
        </w:rPr>
        <w:t xml:space="preserve">08, </w:t>
      </w:r>
      <w:r w:rsidR="00B00D95">
        <w:rPr>
          <w:rFonts w:ascii="Times New Roman" w:hAnsi="Times New Roman" w:cs="Times New Roman"/>
          <w:sz w:val="24"/>
          <w:szCs w:val="24"/>
        </w:rPr>
        <w:t>35 percent</w:t>
      </w:r>
      <w:r w:rsidRPr="00E74148">
        <w:rPr>
          <w:rFonts w:ascii="Times New Roman" w:hAnsi="Times New Roman" w:cs="Times New Roman"/>
          <w:sz w:val="24"/>
          <w:szCs w:val="24"/>
        </w:rPr>
        <w:t xml:space="preserve"> of community college students came from families </w:t>
      </w:r>
      <w:r w:rsidR="00F15851">
        <w:rPr>
          <w:rFonts w:ascii="Times New Roman" w:hAnsi="Times New Roman" w:cs="Times New Roman"/>
          <w:sz w:val="24"/>
          <w:szCs w:val="24"/>
        </w:rPr>
        <w:t xml:space="preserve">earning </w:t>
      </w:r>
      <w:r w:rsidR="00B00D95">
        <w:rPr>
          <w:rFonts w:ascii="Times New Roman" w:hAnsi="Times New Roman" w:cs="Times New Roman"/>
          <w:sz w:val="24"/>
          <w:szCs w:val="24"/>
        </w:rPr>
        <w:t xml:space="preserve">less than $40,000, while 37 percent </w:t>
      </w:r>
      <w:r w:rsidRPr="00E74148">
        <w:rPr>
          <w:rFonts w:ascii="Times New Roman" w:hAnsi="Times New Roman" w:cs="Times New Roman"/>
          <w:sz w:val="24"/>
          <w:szCs w:val="24"/>
        </w:rPr>
        <w:t>came from</w:t>
      </w:r>
      <w:r w:rsidR="00B00D95">
        <w:rPr>
          <w:rFonts w:ascii="Times New Roman" w:hAnsi="Times New Roman" w:cs="Times New Roman"/>
          <w:sz w:val="24"/>
          <w:szCs w:val="24"/>
        </w:rPr>
        <w:t xml:space="preserve"> families </w:t>
      </w:r>
      <w:r w:rsidR="00F15851">
        <w:rPr>
          <w:rFonts w:ascii="Times New Roman" w:hAnsi="Times New Roman" w:cs="Times New Roman"/>
          <w:sz w:val="24"/>
          <w:szCs w:val="24"/>
        </w:rPr>
        <w:t xml:space="preserve">earning </w:t>
      </w:r>
      <w:r w:rsidR="00B00D95">
        <w:rPr>
          <w:rFonts w:ascii="Times New Roman" w:hAnsi="Times New Roman" w:cs="Times New Roman"/>
          <w:sz w:val="24"/>
          <w:szCs w:val="24"/>
        </w:rPr>
        <w:t>$40,000–</w:t>
      </w:r>
      <w:r w:rsidRPr="00E74148">
        <w:rPr>
          <w:rFonts w:ascii="Times New Roman" w:hAnsi="Times New Roman" w:cs="Times New Roman"/>
          <w:sz w:val="24"/>
          <w:szCs w:val="24"/>
        </w:rPr>
        <w:t>$79,000.</w:t>
      </w:r>
      <w:r w:rsidRPr="00E74148">
        <w:rPr>
          <w:rFonts w:ascii="Times New Roman" w:hAnsi="Times New Roman" w:cs="Times New Roman"/>
          <w:sz w:val="24"/>
          <w:szCs w:val="24"/>
          <w:vertAlign w:val="superscript"/>
        </w:rPr>
        <w:footnoteReference w:id="9"/>
      </w:r>
      <w:r w:rsidRPr="00E74148">
        <w:rPr>
          <w:rFonts w:ascii="Times New Roman" w:hAnsi="Times New Roman" w:cs="Times New Roman"/>
          <w:sz w:val="24"/>
          <w:szCs w:val="24"/>
        </w:rPr>
        <w:t xml:space="preserve"> </w:t>
      </w:r>
      <w:r w:rsidR="00F15851">
        <w:rPr>
          <w:rFonts w:ascii="Times New Roman" w:hAnsi="Times New Roman" w:cs="Times New Roman"/>
          <w:sz w:val="24"/>
          <w:szCs w:val="24"/>
        </w:rPr>
        <w:t xml:space="preserve">Community colleges also </w:t>
      </w:r>
      <w:r w:rsidRPr="00E74148">
        <w:rPr>
          <w:rFonts w:ascii="Times New Roman" w:hAnsi="Times New Roman" w:cs="Times New Roman"/>
          <w:sz w:val="24"/>
          <w:szCs w:val="24"/>
        </w:rPr>
        <w:t>enroll larger percentages of older</w:t>
      </w:r>
      <w:r w:rsidRPr="00E74148">
        <w:rPr>
          <w:rFonts w:ascii="Times New Roman" w:hAnsi="Times New Roman" w:cs="Times New Roman"/>
          <w:sz w:val="24"/>
          <w:szCs w:val="24"/>
          <w:vertAlign w:val="superscript"/>
        </w:rPr>
        <w:footnoteReference w:id="10"/>
      </w:r>
      <w:r w:rsidRPr="00E74148">
        <w:rPr>
          <w:rFonts w:ascii="Times New Roman" w:hAnsi="Times New Roman" w:cs="Times New Roman"/>
          <w:sz w:val="24"/>
          <w:szCs w:val="24"/>
        </w:rPr>
        <w:t xml:space="preserve"> and minority</w:t>
      </w:r>
      <w:r w:rsidRPr="00E74148">
        <w:rPr>
          <w:rFonts w:ascii="Times New Roman" w:hAnsi="Times New Roman" w:cs="Times New Roman"/>
          <w:sz w:val="24"/>
          <w:szCs w:val="24"/>
          <w:vertAlign w:val="superscript"/>
        </w:rPr>
        <w:footnoteReference w:id="11"/>
      </w:r>
      <w:r w:rsidRPr="00E74148">
        <w:rPr>
          <w:rFonts w:ascii="Times New Roman" w:hAnsi="Times New Roman" w:cs="Times New Roman"/>
          <w:sz w:val="24"/>
          <w:szCs w:val="24"/>
        </w:rPr>
        <w:t xml:space="preserve"> studen</w:t>
      </w:r>
      <w:r w:rsidR="00B00D95">
        <w:rPr>
          <w:rFonts w:ascii="Times New Roman" w:hAnsi="Times New Roman" w:cs="Times New Roman"/>
          <w:sz w:val="24"/>
          <w:szCs w:val="24"/>
        </w:rPr>
        <w:t>ts than traditional non-profit four</w:t>
      </w:r>
      <w:r w:rsidR="00AE3A7D">
        <w:rPr>
          <w:rFonts w:ascii="Times New Roman" w:hAnsi="Times New Roman" w:cs="Times New Roman"/>
          <w:sz w:val="24"/>
          <w:szCs w:val="24"/>
        </w:rPr>
        <w:t>-year schools.</w:t>
      </w:r>
    </w:p>
    <w:p w14:paraId="7B86C510" w14:textId="791AC7D2" w:rsidR="00A011F8" w:rsidRPr="00E74148" w:rsidRDefault="00A011F8" w:rsidP="00B00D95">
      <w:pPr>
        <w:spacing w:line="240" w:lineRule="auto"/>
        <w:ind w:firstLine="720"/>
        <w:rPr>
          <w:rFonts w:ascii="Times New Roman" w:hAnsi="Times New Roman" w:cs="Times New Roman"/>
          <w:sz w:val="24"/>
          <w:szCs w:val="24"/>
        </w:rPr>
      </w:pPr>
      <w:r w:rsidRPr="00E74148">
        <w:rPr>
          <w:rFonts w:ascii="Times New Roman" w:hAnsi="Times New Roman" w:cs="Times New Roman"/>
          <w:sz w:val="24"/>
          <w:szCs w:val="24"/>
        </w:rPr>
        <w:t>Despite the low cost of attending</w:t>
      </w:r>
      <w:r w:rsidR="00A86FA6">
        <w:rPr>
          <w:rFonts w:ascii="Times New Roman" w:hAnsi="Times New Roman" w:cs="Times New Roman"/>
          <w:sz w:val="24"/>
          <w:szCs w:val="24"/>
        </w:rPr>
        <w:t xml:space="preserve">, community </w:t>
      </w:r>
      <w:r w:rsidR="00AE3A7D">
        <w:rPr>
          <w:rFonts w:ascii="Times New Roman" w:hAnsi="Times New Roman" w:cs="Times New Roman"/>
          <w:sz w:val="24"/>
          <w:szCs w:val="24"/>
        </w:rPr>
        <w:t>college</w:t>
      </w:r>
      <w:r w:rsidRPr="00E74148">
        <w:rPr>
          <w:rFonts w:ascii="Times New Roman" w:hAnsi="Times New Roman" w:cs="Times New Roman"/>
          <w:sz w:val="24"/>
          <w:szCs w:val="24"/>
        </w:rPr>
        <w:t xml:space="preserve"> students still rely on federal student aid to finance their education. Along with public four-year colleges, community colleges receive the</w:t>
      </w:r>
      <w:r w:rsidR="00B00D95">
        <w:rPr>
          <w:rFonts w:ascii="Times New Roman" w:hAnsi="Times New Roman" w:cs="Times New Roman"/>
          <w:sz w:val="24"/>
          <w:szCs w:val="24"/>
        </w:rPr>
        <w:t xml:space="preserve"> largest percentage</w:t>
      </w:r>
      <w:r w:rsidRPr="00E74148">
        <w:rPr>
          <w:rFonts w:ascii="Times New Roman" w:hAnsi="Times New Roman" w:cs="Times New Roman"/>
          <w:sz w:val="24"/>
          <w:szCs w:val="24"/>
        </w:rPr>
        <w:t xml:space="preserve"> </w:t>
      </w:r>
      <w:r w:rsidR="00B00D95">
        <w:rPr>
          <w:rFonts w:ascii="Times New Roman" w:hAnsi="Times New Roman" w:cs="Times New Roman"/>
          <w:sz w:val="24"/>
          <w:szCs w:val="24"/>
        </w:rPr>
        <w:t>of Pell Grants—33 percent</w:t>
      </w:r>
      <w:r w:rsidRPr="00E74148">
        <w:rPr>
          <w:rFonts w:ascii="Times New Roman" w:hAnsi="Times New Roman" w:cs="Times New Roman"/>
          <w:sz w:val="24"/>
          <w:szCs w:val="24"/>
        </w:rPr>
        <w:t>.</w:t>
      </w:r>
      <w:r w:rsidRPr="00E74148">
        <w:rPr>
          <w:rFonts w:ascii="Times New Roman" w:hAnsi="Times New Roman" w:cs="Times New Roman"/>
          <w:sz w:val="24"/>
          <w:szCs w:val="24"/>
          <w:vertAlign w:val="superscript"/>
        </w:rPr>
        <w:footnoteReference w:id="12"/>
      </w:r>
      <w:r w:rsidR="004F7711">
        <w:rPr>
          <w:rFonts w:ascii="Times New Roman" w:hAnsi="Times New Roman" w:cs="Times New Roman"/>
          <w:sz w:val="24"/>
          <w:szCs w:val="24"/>
        </w:rPr>
        <w:t xml:space="preserve"> However, community colleges </w:t>
      </w:r>
      <w:r w:rsidR="005F46EA">
        <w:rPr>
          <w:rFonts w:ascii="Times New Roman" w:hAnsi="Times New Roman" w:cs="Times New Roman"/>
          <w:sz w:val="24"/>
          <w:szCs w:val="24"/>
        </w:rPr>
        <w:t xml:space="preserve">receive </w:t>
      </w:r>
      <w:r w:rsidRPr="00E74148">
        <w:rPr>
          <w:rFonts w:ascii="Times New Roman" w:hAnsi="Times New Roman" w:cs="Times New Roman"/>
          <w:sz w:val="24"/>
          <w:szCs w:val="24"/>
        </w:rPr>
        <w:t>the smallest percent</w:t>
      </w:r>
      <w:r w:rsidR="00F2547F">
        <w:rPr>
          <w:rFonts w:ascii="Times New Roman" w:hAnsi="Times New Roman" w:cs="Times New Roman"/>
          <w:sz w:val="24"/>
          <w:szCs w:val="24"/>
        </w:rPr>
        <w:t>age of federal Perkins l</w:t>
      </w:r>
      <w:r w:rsidR="005F46EA">
        <w:rPr>
          <w:rFonts w:ascii="Times New Roman" w:hAnsi="Times New Roman" w:cs="Times New Roman"/>
          <w:sz w:val="24"/>
          <w:szCs w:val="24"/>
        </w:rPr>
        <w:t>oans (0 percent</w:t>
      </w:r>
      <w:r w:rsidRPr="00E74148">
        <w:rPr>
          <w:rFonts w:ascii="Times New Roman" w:hAnsi="Times New Roman" w:cs="Times New Roman"/>
          <w:sz w:val="24"/>
          <w:szCs w:val="24"/>
        </w:rPr>
        <w:t>)</w:t>
      </w:r>
      <w:r w:rsidR="00F2547F">
        <w:rPr>
          <w:rFonts w:ascii="Times New Roman" w:hAnsi="Times New Roman" w:cs="Times New Roman"/>
          <w:sz w:val="24"/>
          <w:szCs w:val="24"/>
        </w:rPr>
        <w:t>, subsidized Stafford l</w:t>
      </w:r>
      <w:r w:rsidR="005F46EA">
        <w:rPr>
          <w:rFonts w:ascii="Times New Roman" w:hAnsi="Times New Roman" w:cs="Times New Roman"/>
          <w:sz w:val="24"/>
          <w:szCs w:val="24"/>
        </w:rPr>
        <w:t>oans (14 percent</w:t>
      </w:r>
      <w:r w:rsidRPr="00E74148">
        <w:rPr>
          <w:rFonts w:ascii="Times New Roman" w:hAnsi="Times New Roman" w:cs="Times New Roman"/>
          <w:sz w:val="24"/>
          <w:szCs w:val="24"/>
        </w:rPr>
        <w:t>),</w:t>
      </w:r>
      <w:r w:rsidR="005F46EA">
        <w:rPr>
          <w:rFonts w:ascii="Times New Roman" w:hAnsi="Times New Roman" w:cs="Times New Roman"/>
          <w:sz w:val="24"/>
          <w:szCs w:val="24"/>
        </w:rPr>
        <w:t xml:space="preserve"> </w:t>
      </w:r>
      <w:r w:rsidR="00F2547F">
        <w:rPr>
          <w:rFonts w:ascii="Times New Roman" w:hAnsi="Times New Roman" w:cs="Times New Roman"/>
          <w:sz w:val="24"/>
          <w:szCs w:val="24"/>
        </w:rPr>
        <w:t>unsubsidized Stafford l</w:t>
      </w:r>
      <w:r w:rsidR="005F46EA">
        <w:rPr>
          <w:rFonts w:ascii="Times New Roman" w:hAnsi="Times New Roman" w:cs="Times New Roman"/>
          <w:sz w:val="24"/>
          <w:szCs w:val="24"/>
        </w:rPr>
        <w:t>oan</w:t>
      </w:r>
      <w:r w:rsidR="00F2547F">
        <w:rPr>
          <w:rFonts w:ascii="Times New Roman" w:hAnsi="Times New Roman" w:cs="Times New Roman"/>
          <w:sz w:val="24"/>
          <w:szCs w:val="24"/>
        </w:rPr>
        <w:t>s (7 percent), and Parent PLUS loans (1 percent); and</w:t>
      </w:r>
      <w:r w:rsidR="005F46EA">
        <w:rPr>
          <w:rFonts w:ascii="Times New Roman" w:hAnsi="Times New Roman" w:cs="Times New Roman"/>
          <w:sz w:val="24"/>
          <w:szCs w:val="24"/>
        </w:rPr>
        <w:t xml:space="preserve"> </w:t>
      </w:r>
      <w:r w:rsidRPr="00E74148">
        <w:rPr>
          <w:rFonts w:ascii="Times New Roman" w:hAnsi="Times New Roman" w:cs="Times New Roman"/>
          <w:sz w:val="24"/>
          <w:szCs w:val="24"/>
        </w:rPr>
        <w:t>the second-smallest percentage of Federal Supplemental Educational Opportunity Grants</w:t>
      </w:r>
      <w:r w:rsidR="005F46EA">
        <w:rPr>
          <w:rFonts w:ascii="Times New Roman" w:hAnsi="Times New Roman" w:cs="Times New Roman"/>
          <w:sz w:val="24"/>
          <w:szCs w:val="24"/>
        </w:rPr>
        <w:t xml:space="preserve"> (21 percent</w:t>
      </w:r>
      <w:r w:rsidRPr="00E74148">
        <w:rPr>
          <w:rFonts w:ascii="Times New Roman" w:hAnsi="Times New Roman" w:cs="Times New Roman"/>
          <w:sz w:val="24"/>
          <w:szCs w:val="24"/>
        </w:rPr>
        <w:t>) a</w:t>
      </w:r>
      <w:r w:rsidR="005F46EA">
        <w:rPr>
          <w:rFonts w:ascii="Times New Roman" w:hAnsi="Times New Roman" w:cs="Times New Roman"/>
          <w:sz w:val="24"/>
          <w:szCs w:val="24"/>
        </w:rPr>
        <w:t>nd Federal Work Study funds (16 percent</w:t>
      </w:r>
      <w:r w:rsidRPr="00E74148">
        <w:rPr>
          <w:rFonts w:ascii="Times New Roman" w:hAnsi="Times New Roman" w:cs="Times New Roman"/>
          <w:sz w:val="24"/>
          <w:szCs w:val="24"/>
        </w:rPr>
        <w:t>).</w:t>
      </w:r>
      <w:r w:rsidRPr="00E74148">
        <w:rPr>
          <w:rFonts w:ascii="Times New Roman" w:hAnsi="Times New Roman" w:cs="Times New Roman"/>
          <w:sz w:val="24"/>
          <w:szCs w:val="24"/>
          <w:vertAlign w:val="superscript"/>
        </w:rPr>
        <w:footnoteReference w:id="13"/>
      </w:r>
      <w:r w:rsidRPr="00E74148">
        <w:rPr>
          <w:rFonts w:ascii="Times New Roman" w:hAnsi="Times New Roman" w:cs="Times New Roman"/>
          <w:sz w:val="24"/>
          <w:szCs w:val="24"/>
        </w:rPr>
        <w:t xml:space="preserve"> </w:t>
      </w:r>
      <w:r w:rsidR="005F46EA">
        <w:rPr>
          <w:rFonts w:ascii="Times New Roman" w:hAnsi="Times New Roman" w:cs="Times New Roman"/>
          <w:sz w:val="24"/>
          <w:szCs w:val="24"/>
        </w:rPr>
        <w:t xml:space="preserve">Because of </w:t>
      </w:r>
      <w:r w:rsidRPr="00E74148">
        <w:rPr>
          <w:rFonts w:ascii="Times New Roman" w:hAnsi="Times New Roman" w:cs="Times New Roman"/>
          <w:sz w:val="24"/>
          <w:szCs w:val="24"/>
        </w:rPr>
        <w:t xml:space="preserve">their </w:t>
      </w:r>
      <w:r w:rsidR="00F2547F">
        <w:rPr>
          <w:rFonts w:ascii="Times New Roman" w:hAnsi="Times New Roman" w:cs="Times New Roman"/>
          <w:sz w:val="24"/>
          <w:szCs w:val="24"/>
        </w:rPr>
        <w:t xml:space="preserve">relatively </w:t>
      </w:r>
      <w:r w:rsidRPr="00E74148">
        <w:rPr>
          <w:rFonts w:ascii="Times New Roman" w:hAnsi="Times New Roman" w:cs="Times New Roman"/>
          <w:sz w:val="24"/>
          <w:szCs w:val="24"/>
        </w:rPr>
        <w:t xml:space="preserve">low cost and low level of federal funding, </w:t>
      </w:r>
      <w:r w:rsidR="00A86FA6">
        <w:rPr>
          <w:rFonts w:ascii="Times New Roman" w:hAnsi="Times New Roman" w:cs="Times New Roman"/>
          <w:sz w:val="24"/>
          <w:szCs w:val="24"/>
        </w:rPr>
        <w:t xml:space="preserve">community </w:t>
      </w:r>
      <w:r w:rsidR="00F2547F">
        <w:rPr>
          <w:rFonts w:ascii="Times New Roman" w:hAnsi="Times New Roman" w:cs="Times New Roman"/>
          <w:sz w:val="24"/>
          <w:szCs w:val="24"/>
        </w:rPr>
        <w:t>college students</w:t>
      </w:r>
      <w:r w:rsidR="005F46EA">
        <w:rPr>
          <w:rFonts w:ascii="Times New Roman" w:hAnsi="Times New Roman" w:cs="Times New Roman"/>
          <w:sz w:val="24"/>
          <w:szCs w:val="24"/>
        </w:rPr>
        <w:t xml:space="preserve"> </w:t>
      </w:r>
      <w:r w:rsidR="00F2547F">
        <w:rPr>
          <w:rFonts w:ascii="Times New Roman" w:hAnsi="Times New Roman" w:cs="Times New Roman"/>
          <w:sz w:val="24"/>
          <w:szCs w:val="24"/>
        </w:rPr>
        <w:t xml:space="preserve">took on </w:t>
      </w:r>
      <w:r w:rsidRPr="00E74148">
        <w:rPr>
          <w:rFonts w:ascii="Times New Roman" w:hAnsi="Times New Roman" w:cs="Times New Roman"/>
          <w:sz w:val="24"/>
          <w:szCs w:val="24"/>
        </w:rPr>
        <w:t xml:space="preserve">the smallest </w:t>
      </w:r>
      <w:r w:rsidR="005F46EA">
        <w:rPr>
          <w:rFonts w:ascii="Times New Roman" w:hAnsi="Times New Roman" w:cs="Times New Roman"/>
          <w:sz w:val="24"/>
          <w:szCs w:val="24"/>
        </w:rPr>
        <w:t>student loans—$4,800</w:t>
      </w:r>
      <w:r w:rsidR="00F2547F">
        <w:rPr>
          <w:rFonts w:ascii="Times New Roman" w:hAnsi="Times New Roman" w:cs="Times New Roman"/>
          <w:sz w:val="24"/>
          <w:szCs w:val="24"/>
        </w:rPr>
        <w:t>, on average</w:t>
      </w:r>
      <w:r w:rsidR="005F46EA">
        <w:rPr>
          <w:rFonts w:ascii="Times New Roman" w:hAnsi="Times New Roman" w:cs="Times New Roman"/>
          <w:sz w:val="24"/>
          <w:szCs w:val="24"/>
        </w:rPr>
        <w:t>—in 201</w:t>
      </w:r>
      <w:r w:rsidR="000C5334">
        <w:rPr>
          <w:rFonts w:ascii="Times New Roman" w:hAnsi="Times New Roman" w:cs="Times New Roman"/>
          <w:sz w:val="24"/>
          <w:szCs w:val="24"/>
        </w:rPr>
        <w:t>1</w:t>
      </w:r>
      <w:r w:rsidR="00DF4E02">
        <w:rPr>
          <w:rFonts w:ascii="Times New Roman" w:hAnsi="Times New Roman" w:cs="Times New Roman"/>
          <w:sz w:val="24"/>
          <w:szCs w:val="24"/>
        </w:rPr>
        <w:t>–</w:t>
      </w:r>
      <w:r w:rsidRPr="00E74148">
        <w:rPr>
          <w:rFonts w:ascii="Times New Roman" w:hAnsi="Times New Roman" w:cs="Times New Roman"/>
          <w:sz w:val="24"/>
          <w:szCs w:val="24"/>
        </w:rPr>
        <w:t>12.</w:t>
      </w:r>
      <w:r w:rsidRPr="00E74148">
        <w:rPr>
          <w:rFonts w:ascii="Times New Roman" w:hAnsi="Times New Roman" w:cs="Times New Roman"/>
          <w:sz w:val="24"/>
          <w:szCs w:val="24"/>
          <w:vertAlign w:val="superscript"/>
        </w:rPr>
        <w:footnoteReference w:id="14"/>
      </w:r>
    </w:p>
    <w:p w14:paraId="7C42E0AF" w14:textId="77777777" w:rsidR="00A011F8" w:rsidRPr="00E74148" w:rsidRDefault="00A011F8" w:rsidP="00E74148">
      <w:pPr>
        <w:spacing w:line="240" w:lineRule="auto"/>
        <w:rPr>
          <w:rFonts w:ascii="Times New Roman" w:hAnsi="Times New Roman" w:cs="Times New Roman"/>
          <w:sz w:val="24"/>
          <w:szCs w:val="24"/>
        </w:rPr>
      </w:pPr>
    </w:p>
    <w:p w14:paraId="2CB28CBE" w14:textId="316B348A" w:rsidR="00A011F8" w:rsidRPr="005F46EA" w:rsidRDefault="005F46EA" w:rsidP="00E74148">
      <w:pPr>
        <w:spacing w:line="240" w:lineRule="auto"/>
        <w:rPr>
          <w:rFonts w:ascii="Times New Roman" w:hAnsi="Times New Roman" w:cs="Times New Roman"/>
          <w:b/>
          <w:sz w:val="24"/>
          <w:szCs w:val="24"/>
        </w:rPr>
      </w:pPr>
      <w:r w:rsidRPr="005F46EA">
        <w:rPr>
          <w:rFonts w:ascii="Times New Roman" w:hAnsi="Times New Roman" w:cs="Times New Roman"/>
          <w:b/>
          <w:sz w:val="24"/>
          <w:szCs w:val="24"/>
        </w:rPr>
        <w:t>II</w:t>
      </w:r>
      <w:r w:rsidR="00A011F8" w:rsidRPr="005F46EA">
        <w:rPr>
          <w:rFonts w:ascii="Times New Roman" w:hAnsi="Times New Roman" w:cs="Times New Roman"/>
          <w:b/>
          <w:sz w:val="24"/>
          <w:szCs w:val="24"/>
        </w:rPr>
        <w:t xml:space="preserve">. </w:t>
      </w:r>
      <w:r w:rsidR="00FB5667">
        <w:rPr>
          <w:rFonts w:ascii="Times New Roman" w:hAnsi="Times New Roman" w:cs="Times New Roman"/>
          <w:b/>
          <w:sz w:val="24"/>
          <w:szCs w:val="24"/>
        </w:rPr>
        <w:t>Poor Performance</w:t>
      </w:r>
    </w:p>
    <w:p w14:paraId="56FF18D5" w14:textId="1DF9D6AA" w:rsidR="007E317B" w:rsidRDefault="00786FB3" w:rsidP="007E317B">
      <w:pPr>
        <w:spacing w:line="240" w:lineRule="auto"/>
        <w:rPr>
          <w:rFonts w:ascii="Times New Roman" w:hAnsi="Times New Roman" w:cs="Times New Roman"/>
          <w:sz w:val="24"/>
          <w:szCs w:val="24"/>
        </w:rPr>
      </w:pPr>
      <w:r>
        <w:rPr>
          <w:rFonts w:ascii="Times New Roman" w:hAnsi="Times New Roman" w:cs="Times New Roman"/>
          <w:sz w:val="24"/>
          <w:szCs w:val="24"/>
        </w:rPr>
        <w:t xml:space="preserve">While </w:t>
      </w:r>
      <w:r w:rsidR="00A011F8" w:rsidRPr="00E74148">
        <w:rPr>
          <w:rFonts w:ascii="Times New Roman" w:hAnsi="Times New Roman" w:cs="Times New Roman"/>
          <w:sz w:val="24"/>
          <w:szCs w:val="24"/>
        </w:rPr>
        <w:t xml:space="preserve">cheaper and more accessible to underrepresented students than traditional </w:t>
      </w:r>
      <w:r w:rsidR="00113813">
        <w:rPr>
          <w:rFonts w:ascii="Times New Roman" w:hAnsi="Times New Roman" w:cs="Times New Roman"/>
          <w:sz w:val="24"/>
          <w:szCs w:val="24"/>
        </w:rPr>
        <w:t xml:space="preserve">higher-ed </w:t>
      </w:r>
      <w:r w:rsidR="00A011F8" w:rsidRPr="00E74148">
        <w:rPr>
          <w:rFonts w:ascii="Times New Roman" w:hAnsi="Times New Roman" w:cs="Times New Roman"/>
          <w:sz w:val="24"/>
          <w:szCs w:val="24"/>
        </w:rPr>
        <w:t>institutions</w:t>
      </w:r>
      <w:r>
        <w:rPr>
          <w:rFonts w:ascii="Times New Roman" w:hAnsi="Times New Roman" w:cs="Times New Roman"/>
          <w:sz w:val="24"/>
          <w:szCs w:val="24"/>
        </w:rPr>
        <w:t xml:space="preserve">, America’s community colleges suffer from low </w:t>
      </w:r>
      <w:r w:rsidR="007772BC">
        <w:rPr>
          <w:rFonts w:ascii="Times New Roman" w:hAnsi="Times New Roman" w:cs="Times New Roman"/>
          <w:sz w:val="24"/>
          <w:szCs w:val="24"/>
        </w:rPr>
        <w:t xml:space="preserve">graduation </w:t>
      </w:r>
      <w:r w:rsidR="00631D56">
        <w:rPr>
          <w:rFonts w:ascii="Times New Roman" w:hAnsi="Times New Roman" w:cs="Times New Roman"/>
          <w:sz w:val="24"/>
          <w:szCs w:val="24"/>
        </w:rPr>
        <w:t>and loan-</w:t>
      </w:r>
      <w:r w:rsidR="002E6526" w:rsidRPr="00E74148">
        <w:rPr>
          <w:rFonts w:ascii="Times New Roman" w:hAnsi="Times New Roman" w:cs="Times New Roman"/>
          <w:sz w:val="24"/>
          <w:szCs w:val="24"/>
        </w:rPr>
        <w:t xml:space="preserve">repayment </w:t>
      </w:r>
      <w:r w:rsidR="000B712E">
        <w:rPr>
          <w:rFonts w:ascii="Times New Roman" w:hAnsi="Times New Roman" w:cs="Times New Roman"/>
          <w:sz w:val="24"/>
          <w:szCs w:val="24"/>
        </w:rPr>
        <w:t>rates</w:t>
      </w:r>
      <w:r w:rsidR="00BB5F90">
        <w:rPr>
          <w:rFonts w:ascii="Times New Roman" w:hAnsi="Times New Roman" w:cs="Times New Roman"/>
          <w:sz w:val="24"/>
          <w:szCs w:val="24"/>
        </w:rPr>
        <w:t>;</w:t>
      </w:r>
      <w:r w:rsidR="007E317B">
        <w:rPr>
          <w:rFonts w:ascii="Times New Roman" w:hAnsi="Times New Roman" w:cs="Times New Roman"/>
          <w:sz w:val="24"/>
          <w:szCs w:val="24"/>
        </w:rPr>
        <w:t xml:space="preserve"> </w:t>
      </w:r>
      <w:r w:rsidR="00BB5F90">
        <w:rPr>
          <w:rFonts w:ascii="Times New Roman" w:hAnsi="Times New Roman" w:cs="Times New Roman"/>
          <w:sz w:val="24"/>
          <w:szCs w:val="24"/>
        </w:rPr>
        <w:t>i</w:t>
      </w:r>
      <w:r w:rsidR="007E317B">
        <w:rPr>
          <w:rFonts w:ascii="Times New Roman" w:hAnsi="Times New Roman" w:cs="Times New Roman"/>
          <w:sz w:val="24"/>
          <w:szCs w:val="24"/>
        </w:rPr>
        <w:t xml:space="preserve">ndeed, </w:t>
      </w:r>
      <w:r w:rsidR="00BB5F90">
        <w:rPr>
          <w:rFonts w:ascii="Times New Roman" w:hAnsi="Times New Roman" w:cs="Times New Roman"/>
          <w:sz w:val="24"/>
          <w:szCs w:val="24"/>
        </w:rPr>
        <w:t xml:space="preserve">their </w:t>
      </w:r>
      <w:r w:rsidR="007772BC">
        <w:rPr>
          <w:rFonts w:ascii="Times New Roman" w:hAnsi="Times New Roman" w:cs="Times New Roman"/>
          <w:sz w:val="24"/>
          <w:szCs w:val="24"/>
        </w:rPr>
        <w:t xml:space="preserve">graduation </w:t>
      </w:r>
      <w:r w:rsidR="009D678C">
        <w:rPr>
          <w:rFonts w:ascii="Times New Roman" w:hAnsi="Times New Roman" w:cs="Times New Roman"/>
          <w:sz w:val="24"/>
          <w:szCs w:val="24"/>
        </w:rPr>
        <w:t xml:space="preserve">rates </w:t>
      </w:r>
      <w:r w:rsidR="00BB5F90">
        <w:rPr>
          <w:rFonts w:ascii="Times New Roman" w:hAnsi="Times New Roman" w:cs="Times New Roman"/>
          <w:sz w:val="24"/>
          <w:szCs w:val="24"/>
        </w:rPr>
        <w:t xml:space="preserve">are the lowest </w:t>
      </w:r>
      <w:r w:rsidR="00A011F8" w:rsidRPr="00E74148">
        <w:rPr>
          <w:rFonts w:ascii="Times New Roman" w:hAnsi="Times New Roman" w:cs="Times New Roman"/>
          <w:sz w:val="24"/>
          <w:szCs w:val="24"/>
        </w:rPr>
        <w:t>of</w:t>
      </w:r>
      <w:r w:rsidR="009D678C">
        <w:rPr>
          <w:rFonts w:ascii="Times New Roman" w:hAnsi="Times New Roman" w:cs="Times New Roman"/>
          <w:sz w:val="24"/>
          <w:szCs w:val="24"/>
        </w:rPr>
        <w:t xml:space="preserve"> all </w:t>
      </w:r>
      <w:r w:rsidR="007E317B">
        <w:rPr>
          <w:rFonts w:ascii="Times New Roman" w:hAnsi="Times New Roman" w:cs="Times New Roman"/>
          <w:sz w:val="24"/>
          <w:szCs w:val="24"/>
        </w:rPr>
        <w:t xml:space="preserve">U.S. </w:t>
      </w:r>
      <w:r w:rsidR="009D678C">
        <w:rPr>
          <w:rFonts w:ascii="Times New Roman" w:hAnsi="Times New Roman" w:cs="Times New Roman"/>
          <w:sz w:val="24"/>
          <w:szCs w:val="24"/>
        </w:rPr>
        <w:t>higher-</w:t>
      </w:r>
      <w:r w:rsidR="00A011F8" w:rsidRPr="00E74148">
        <w:rPr>
          <w:rFonts w:ascii="Times New Roman" w:hAnsi="Times New Roman" w:cs="Times New Roman"/>
          <w:sz w:val="24"/>
          <w:szCs w:val="24"/>
        </w:rPr>
        <w:t>ed</w:t>
      </w:r>
      <w:r w:rsidR="009D678C">
        <w:rPr>
          <w:rFonts w:ascii="Times New Roman" w:hAnsi="Times New Roman" w:cs="Times New Roman"/>
          <w:sz w:val="24"/>
          <w:szCs w:val="24"/>
        </w:rPr>
        <w:t xml:space="preserve"> </w:t>
      </w:r>
      <w:r w:rsidR="008F1AC9">
        <w:rPr>
          <w:rFonts w:ascii="Times New Roman" w:hAnsi="Times New Roman" w:cs="Times New Roman"/>
          <w:sz w:val="24"/>
          <w:szCs w:val="24"/>
        </w:rPr>
        <w:t>sectors</w:t>
      </w:r>
      <w:r w:rsidR="003A6B6B">
        <w:rPr>
          <w:rFonts w:ascii="Times New Roman" w:hAnsi="Times New Roman" w:cs="Times New Roman"/>
          <w:sz w:val="24"/>
          <w:szCs w:val="24"/>
        </w:rPr>
        <w:t xml:space="preserve"> (</w:t>
      </w:r>
      <w:r w:rsidR="003A6B6B" w:rsidRPr="003A6B6B">
        <w:rPr>
          <w:rFonts w:ascii="Times New Roman" w:hAnsi="Times New Roman" w:cs="Times New Roman"/>
          <w:b/>
          <w:sz w:val="24"/>
          <w:szCs w:val="24"/>
        </w:rPr>
        <w:t>Figure 2</w:t>
      </w:r>
      <w:r w:rsidR="003A6B6B">
        <w:rPr>
          <w:rFonts w:ascii="Times New Roman" w:hAnsi="Times New Roman" w:cs="Times New Roman"/>
          <w:sz w:val="24"/>
          <w:szCs w:val="24"/>
        </w:rPr>
        <w:t>)</w:t>
      </w:r>
      <w:r w:rsidR="008F1AC9">
        <w:rPr>
          <w:rFonts w:ascii="Times New Roman" w:hAnsi="Times New Roman" w:cs="Times New Roman"/>
          <w:sz w:val="24"/>
          <w:szCs w:val="24"/>
        </w:rPr>
        <w:t>.</w:t>
      </w:r>
    </w:p>
    <w:p w14:paraId="0BBAFC0B" w14:textId="77777777" w:rsidR="00207ECA" w:rsidRDefault="00207ECA" w:rsidP="007E317B">
      <w:pPr>
        <w:spacing w:line="240" w:lineRule="auto"/>
        <w:rPr>
          <w:rFonts w:ascii="Times New Roman" w:hAnsi="Times New Roman" w:cs="Times New Roman"/>
          <w:sz w:val="24"/>
          <w:szCs w:val="24"/>
        </w:rPr>
      </w:pPr>
    </w:p>
    <w:p w14:paraId="725B0298" w14:textId="63B26A4D" w:rsidR="00207ECA" w:rsidRDefault="00207ECA" w:rsidP="00207ECA">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Figure 2</w:t>
      </w:r>
      <w:r w:rsidRPr="005C084A">
        <w:rPr>
          <w:rFonts w:ascii="Times New Roman" w:hAnsi="Times New Roman" w:cs="Times New Roman"/>
          <w:b/>
          <w:sz w:val="24"/>
          <w:szCs w:val="24"/>
        </w:rPr>
        <w:t xml:space="preserve">. </w:t>
      </w:r>
      <w:r>
        <w:rPr>
          <w:rFonts w:ascii="Times New Roman" w:hAnsi="Times New Roman" w:cs="Times New Roman"/>
          <w:b/>
          <w:sz w:val="24"/>
          <w:szCs w:val="24"/>
        </w:rPr>
        <w:t>Tw</w:t>
      </w:r>
      <w:r w:rsidR="002D56CE">
        <w:rPr>
          <w:rFonts w:ascii="Times New Roman" w:hAnsi="Times New Roman" w:cs="Times New Roman"/>
          <w:b/>
          <w:sz w:val="24"/>
          <w:szCs w:val="24"/>
        </w:rPr>
        <w:t>o-Year College Graduation Rates</w:t>
      </w:r>
      <w:r w:rsidR="00362B85">
        <w:rPr>
          <w:rFonts w:ascii="Times New Roman" w:hAnsi="Times New Roman" w:cs="Times New Roman"/>
          <w:b/>
          <w:sz w:val="24"/>
          <w:szCs w:val="24"/>
        </w:rPr>
        <w:t xml:space="preserve"> (%)</w:t>
      </w:r>
      <w:r w:rsidR="002D56CE">
        <w:rPr>
          <w:rFonts w:ascii="Times New Roman" w:hAnsi="Times New Roman" w:cs="Times New Roman"/>
          <w:b/>
          <w:sz w:val="24"/>
          <w:szCs w:val="24"/>
        </w:rPr>
        <w:t xml:space="preserve">, </w:t>
      </w:r>
      <w:r>
        <w:rPr>
          <w:rFonts w:ascii="Times New Roman" w:hAnsi="Times New Roman" w:cs="Times New Roman"/>
          <w:b/>
          <w:sz w:val="24"/>
          <w:szCs w:val="24"/>
        </w:rPr>
        <w:t xml:space="preserve">Students </w:t>
      </w:r>
      <w:r w:rsidR="002D56CE">
        <w:rPr>
          <w:rFonts w:ascii="Times New Roman" w:hAnsi="Times New Roman" w:cs="Times New Roman"/>
          <w:b/>
          <w:sz w:val="24"/>
          <w:szCs w:val="24"/>
        </w:rPr>
        <w:t xml:space="preserve">Enrolling </w:t>
      </w:r>
      <w:r>
        <w:rPr>
          <w:rFonts w:ascii="Times New Roman" w:hAnsi="Times New Roman" w:cs="Times New Roman"/>
          <w:b/>
          <w:sz w:val="24"/>
          <w:szCs w:val="24"/>
        </w:rPr>
        <w:t>During 2000–2010</w:t>
      </w:r>
    </w:p>
    <w:p w14:paraId="287F7C07" w14:textId="10267894" w:rsidR="00207ECA" w:rsidRDefault="002D56CE" w:rsidP="00207ECA">
      <w:pPr>
        <w:spacing w:line="240" w:lineRule="auto"/>
        <w:ind w:firstLine="720"/>
        <w:jc w:val="center"/>
        <w:rPr>
          <w:rFonts w:ascii="Times New Roman" w:hAnsi="Times New Roman" w:cs="Times New Roman"/>
          <w:sz w:val="24"/>
          <w:szCs w:val="24"/>
        </w:rPr>
      </w:pPr>
      <w:r>
        <w:rPr>
          <w:noProof/>
        </w:rPr>
        <w:drawing>
          <wp:inline distT="0" distB="0" distL="0" distR="0" wp14:anchorId="2EEC75F2" wp14:editId="407596E3">
            <wp:extent cx="4648200" cy="287655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C5E74B" w14:textId="0BC46374" w:rsidR="00207ECA" w:rsidRPr="00362B85" w:rsidRDefault="00207ECA" w:rsidP="00207ECA">
      <w:pPr>
        <w:spacing w:line="240" w:lineRule="auto"/>
        <w:ind w:firstLine="720"/>
        <w:jc w:val="center"/>
        <w:rPr>
          <w:rFonts w:ascii="Times New Roman" w:hAnsi="Times New Roman" w:cs="Times New Roman"/>
          <w:sz w:val="20"/>
        </w:rPr>
      </w:pPr>
      <w:r w:rsidRPr="00362B85">
        <w:rPr>
          <w:rFonts w:ascii="Times New Roman" w:hAnsi="Times New Roman" w:cs="Times New Roman"/>
          <w:sz w:val="20"/>
        </w:rPr>
        <w:t>Source:</w:t>
      </w:r>
      <w:r w:rsidR="00362B85" w:rsidRPr="00362B85">
        <w:rPr>
          <w:rFonts w:ascii="Times New Roman" w:hAnsi="Times New Roman" w:cs="Times New Roman"/>
          <w:sz w:val="20"/>
        </w:rPr>
        <w:t xml:space="preserve"> </w:t>
      </w:r>
      <w:r w:rsidR="00362B85" w:rsidRPr="00362B85">
        <w:rPr>
          <w:rFonts w:ascii="Times New Roman" w:hAnsi="Times New Roman" w:cs="Times New Roman"/>
          <w:sz w:val="20"/>
          <w:shd w:val="clear" w:color="auto" w:fill="FFFFFF"/>
        </w:rPr>
        <w:t>National Center for Education Statistics</w:t>
      </w:r>
    </w:p>
    <w:p w14:paraId="1C250DC7" w14:textId="77777777" w:rsidR="00207ECA" w:rsidRDefault="00207ECA" w:rsidP="007E317B">
      <w:pPr>
        <w:spacing w:line="240" w:lineRule="auto"/>
        <w:rPr>
          <w:rFonts w:ascii="Times New Roman" w:hAnsi="Times New Roman" w:cs="Times New Roman"/>
          <w:sz w:val="24"/>
          <w:szCs w:val="24"/>
        </w:rPr>
      </w:pPr>
    </w:p>
    <w:p w14:paraId="54CAA6B9" w14:textId="7DCF36EA" w:rsidR="00207ECA" w:rsidRDefault="008F1AC9" w:rsidP="00207ECA">
      <w:pPr>
        <w:spacing w:line="240" w:lineRule="auto"/>
        <w:ind w:firstLine="720"/>
        <w:rPr>
          <w:rFonts w:ascii="Times New Roman" w:hAnsi="Times New Roman" w:cs="Times New Roman"/>
          <w:sz w:val="24"/>
          <w:szCs w:val="24"/>
          <w:vertAlign w:val="superscript"/>
        </w:rPr>
      </w:pPr>
      <w:r>
        <w:rPr>
          <w:rFonts w:ascii="Times New Roman" w:hAnsi="Times New Roman" w:cs="Times New Roman"/>
          <w:sz w:val="24"/>
          <w:szCs w:val="24"/>
        </w:rPr>
        <w:t>A</w:t>
      </w:r>
      <w:r w:rsidRPr="00E74148">
        <w:rPr>
          <w:rFonts w:ascii="Times New Roman" w:hAnsi="Times New Roman" w:cs="Times New Roman"/>
          <w:sz w:val="24"/>
          <w:szCs w:val="24"/>
        </w:rPr>
        <w:t xml:space="preserve">ccording to the National Student </w:t>
      </w:r>
      <w:r>
        <w:rPr>
          <w:rFonts w:ascii="Times New Roman" w:hAnsi="Times New Roman" w:cs="Times New Roman"/>
          <w:sz w:val="24"/>
          <w:szCs w:val="24"/>
        </w:rPr>
        <w:t xml:space="preserve">Clearinghouse Research Center, </w:t>
      </w:r>
      <w:r w:rsidR="00774289">
        <w:rPr>
          <w:rFonts w:ascii="Times New Roman" w:hAnsi="Times New Roman" w:cs="Times New Roman"/>
          <w:sz w:val="24"/>
          <w:szCs w:val="24"/>
        </w:rPr>
        <w:t>o</w:t>
      </w:r>
      <w:r w:rsidR="00A011F8" w:rsidRPr="00E74148">
        <w:rPr>
          <w:rFonts w:ascii="Times New Roman" w:hAnsi="Times New Roman" w:cs="Times New Roman"/>
          <w:sz w:val="24"/>
          <w:szCs w:val="24"/>
        </w:rPr>
        <w:t>nly</w:t>
      </w:r>
      <w:r w:rsidR="0075431E">
        <w:rPr>
          <w:rFonts w:ascii="Times New Roman" w:hAnsi="Times New Roman" w:cs="Times New Roman"/>
          <w:sz w:val="24"/>
          <w:szCs w:val="24"/>
        </w:rPr>
        <w:t xml:space="preserve"> around</w:t>
      </w:r>
      <w:r w:rsidR="00A011F8" w:rsidRPr="00E74148">
        <w:rPr>
          <w:rFonts w:ascii="Times New Roman" w:hAnsi="Times New Roman" w:cs="Times New Roman"/>
          <w:sz w:val="24"/>
          <w:szCs w:val="24"/>
        </w:rPr>
        <w:t xml:space="preserve"> </w:t>
      </w:r>
      <w:r w:rsidR="00B31820">
        <w:rPr>
          <w:rFonts w:ascii="Times New Roman" w:hAnsi="Times New Roman" w:cs="Times New Roman"/>
          <w:sz w:val="24"/>
          <w:szCs w:val="24"/>
        </w:rPr>
        <w:t>26</w:t>
      </w:r>
      <w:r w:rsidR="00B24756">
        <w:rPr>
          <w:rFonts w:ascii="Times New Roman" w:hAnsi="Times New Roman" w:cs="Times New Roman"/>
          <w:sz w:val="24"/>
          <w:szCs w:val="24"/>
        </w:rPr>
        <w:t xml:space="preserve"> percent </w:t>
      </w:r>
      <w:r>
        <w:rPr>
          <w:rFonts w:ascii="Times New Roman" w:hAnsi="Times New Roman" w:cs="Times New Roman"/>
          <w:sz w:val="24"/>
          <w:szCs w:val="24"/>
        </w:rPr>
        <w:t xml:space="preserve">of </w:t>
      </w:r>
      <w:r w:rsidR="00A86FA6">
        <w:rPr>
          <w:rFonts w:ascii="Times New Roman" w:hAnsi="Times New Roman" w:cs="Times New Roman"/>
          <w:sz w:val="24"/>
          <w:szCs w:val="24"/>
        </w:rPr>
        <w:t xml:space="preserve">community </w:t>
      </w:r>
      <w:r w:rsidR="00434D61">
        <w:rPr>
          <w:rFonts w:ascii="Times New Roman" w:hAnsi="Times New Roman" w:cs="Times New Roman"/>
          <w:sz w:val="24"/>
          <w:szCs w:val="24"/>
        </w:rPr>
        <w:t xml:space="preserve">college </w:t>
      </w:r>
      <w:r>
        <w:rPr>
          <w:rFonts w:ascii="Times New Roman" w:hAnsi="Times New Roman" w:cs="Times New Roman"/>
          <w:sz w:val="24"/>
          <w:szCs w:val="24"/>
        </w:rPr>
        <w:t xml:space="preserve">students earn their degree </w:t>
      </w:r>
      <w:r w:rsidR="00CF1FB3">
        <w:rPr>
          <w:rFonts w:ascii="Times New Roman" w:hAnsi="Times New Roman" w:cs="Times New Roman"/>
          <w:sz w:val="24"/>
          <w:szCs w:val="24"/>
        </w:rPr>
        <w:t xml:space="preserve">at their starting institution </w:t>
      </w:r>
      <w:r w:rsidR="00A011F8" w:rsidRPr="00E74148">
        <w:rPr>
          <w:rFonts w:ascii="Times New Roman" w:hAnsi="Times New Roman" w:cs="Times New Roman"/>
          <w:sz w:val="24"/>
          <w:szCs w:val="24"/>
        </w:rPr>
        <w:t>within six years of enrolling</w:t>
      </w:r>
      <w:r w:rsidR="007E317B">
        <w:rPr>
          <w:rFonts w:ascii="Times New Roman" w:hAnsi="Times New Roman" w:cs="Times New Roman"/>
          <w:sz w:val="24"/>
          <w:szCs w:val="24"/>
        </w:rPr>
        <w:t>;</w:t>
      </w:r>
      <w:r>
        <w:rPr>
          <w:rFonts w:ascii="Times New Roman" w:hAnsi="Times New Roman" w:cs="Times New Roman"/>
          <w:sz w:val="24"/>
          <w:szCs w:val="24"/>
        </w:rPr>
        <w:t xml:space="preserve"> </w:t>
      </w:r>
      <w:r w:rsidR="0075431E">
        <w:rPr>
          <w:rFonts w:ascii="Times New Roman" w:hAnsi="Times New Roman" w:cs="Times New Roman"/>
          <w:sz w:val="24"/>
          <w:szCs w:val="24"/>
        </w:rPr>
        <w:t>nearly</w:t>
      </w:r>
      <w:r w:rsidR="00B31820">
        <w:rPr>
          <w:rFonts w:ascii="Times New Roman" w:hAnsi="Times New Roman" w:cs="Times New Roman"/>
          <w:sz w:val="24"/>
          <w:szCs w:val="24"/>
        </w:rPr>
        <w:t xml:space="preserve"> 18</w:t>
      </w:r>
      <w:r w:rsidR="003A658F">
        <w:rPr>
          <w:rFonts w:ascii="Times New Roman" w:hAnsi="Times New Roman" w:cs="Times New Roman"/>
          <w:sz w:val="24"/>
          <w:szCs w:val="24"/>
        </w:rPr>
        <w:t xml:space="preserve"> percent </w:t>
      </w:r>
      <w:r w:rsidR="00AE2BEB">
        <w:rPr>
          <w:rFonts w:ascii="Times New Roman" w:hAnsi="Times New Roman" w:cs="Times New Roman"/>
          <w:sz w:val="24"/>
          <w:szCs w:val="24"/>
        </w:rPr>
        <w:t>are still enrolled after six years</w:t>
      </w:r>
      <w:r w:rsidR="007E317B">
        <w:rPr>
          <w:rFonts w:ascii="Times New Roman" w:hAnsi="Times New Roman" w:cs="Times New Roman"/>
          <w:sz w:val="24"/>
          <w:szCs w:val="24"/>
        </w:rPr>
        <w:t>;</w:t>
      </w:r>
      <w:r w:rsidR="00AE2BEB">
        <w:rPr>
          <w:rFonts w:ascii="Times New Roman" w:hAnsi="Times New Roman" w:cs="Times New Roman"/>
          <w:sz w:val="24"/>
          <w:szCs w:val="24"/>
        </w:rPr>
        <w:t xml:space="preserve"> </w:t>
      </w:r>
      <w:r w:rsidR="00A06008">
        <w:rPr>
          <w:rFonts w:ascii="Times New Roman" w:hAnsi="Times New Roman" w:cs="Times New Roman"/>
          <w:sz w:val="24"/>
          <w:szCs w:val="24"/>
        </w:rPr>
        <w:t>and nearly</w:t>
      </w:r>
      <w:r w:rsidR="00B31820">
        <w:rPr>
          <w:rFonts w:ascii="Times New Roman" w:hAnsi="Times New Roman" w:cs="Times New Roman"/>
          <w:sz w:val="24"/>
          <w:szCs w:val="24"/>
        </w:rPr>
        <w:t xml:space="preserve"> </w:t>
      </w:r>
      <w:r w:rsidR="003A658F">
        <w:rPr>
          <w:rFonts w:ascii="Times New Roman" w:hAnsi="Times New Roman" w:cs="Times New Roman"/>
          <w:sz w:val="24"/>
          <w:szCs w:val="24"/>
        </w:rPr>
        <w:t>4</w:t>
      </w:r>
      <w:r w:rsidR="00797F27">
        <w:rPr>
          <w:rFonts w:ascii="Times New Roman" w:hAnsi="Times New Roman" w:cs="Times New Roman"/>
          <w:sz w:val="24"/>
          <w:szCs w:val="24"/>
        </w:rPr>
        <w:t>3</w:t>
      </w:r>
      <w:r w:rsidR="003A658F">
        <w:rPr>
          <w:rFonts w:ascii="Times New Roman" w:hAnsi="Times New Roman" w:cs="Times New Roman"/>
          <w:sz w:val="24"/>
          <w:szCs w:val="24"/>
        </w:rPr>
        <w:t xml:space="preserve"> percent</w:t>
      </w:r>
      <w:r w:rsidR="00AE2BEB">
        <w:rPr>
          <w:rFonts w:ascii="Times New Roman" w:hAnsi="Times New Roman" w:cs="Times New Roman"/>
          <w:sz w:val="24"/>
          <w:szCs w:val="24"/>
        </w:rPr>
        <w:t xml:space="preserve"> have</w:t>
      </w:r>
      <w:r w:rsidR="003A658F" w:rsidRPr="00E74148">
        <w:rPr>
          <w:rFonts w:ascii="Times New Roman" w:hAnsi="Times New Roman" w:cs="Times New Roman"/>
          <w:sz w:val="24"/>
          <w:szCs w:val="24"/>
        </w:rPr>
        <w:t xml:space="preserve"> dropped out</w:t>
      </w:r>
      <w:r w:rsidR="0075431E">
        <w:rPr>
          <w:rFonts w:ascii="Times New Roman" w:hAnsi="Times New Roman" w:cs="Times New Roman"/>
          <w:sz w:val="24"/>
          <w:szCs w:val="24"/>
        </w:rPr>
        <w:t xml:space="preserve"> (</w:t>
      </w:r>
      <w:r w:rsidR="0075431E">
        <w:rPr>
          <w:rFonts w:ascii="Times New Roman" w:hAnsi="Times New Roman" w:cs="Times New Roman"/>
          <w:b/>
          <w:sz w:val="24"/>
          <w:szCs w:val="24"/>
        </w:rPr>
        <w:t>Figure 3</w:t>
      </w:r>
      <w:r w:rsidR="0075431E">
        <w:rPr>
          <w:rFonts w:ascii="Times New Roman" w:hAnsi="Times New Roman" w:cs="Times New Roman"/>
          <w:sz w:val="24"/>
          <w:szCs w:val="24"/>
        </w:rPr>
        <w:t>). (Roughly 3</w:t>
      </w:r>
      <w:r w:rsidR="007A1478">
        <w:rPr>
          <w:rFonts w:ascii="Times New Roman" w:hAnsi="Times New Roman" w:cs="Times New Roman"/>
          <w:sz w:val="24"/>
          <w:szCs w:val="24"/>
        </w:rPr>
        <w:t xml:space="preserve"> percent </w:t>
      </w:r>
      <w:r w:rsidR="0075431E">
        <w:rPr>
          <w:rFonts w:ascii="Times New Roman" w:hAnsi="Times New Roman" w:cs="Times New Roman"/>
          <w:sz w:val="24"/>
          <w:szCs w:val="24"/>
        </w:rPr>
        <w:t xml:space="preserve">of </w:t>
      </w:r>
      <w:r w:rsidR="00A86FA6">
        <w:rPr>
          <w:rFonts w:ascii="Times New Roman" w:hAnsi="Times New Roman" w:cs="Times New Roman"/>
          <w:sz w:val="24"/>
          <w:szCs w:val="24"/>
        </w:rPr>
        <w:t xml:space="preserve">community </w:t>
      </w:r>
      <w:r w:rsidR="0075431E">
        <w:rPr>
          <w:rFonts w:ascii="Times New Roman" w:hAnsi="Times New Roman" w:cs="Times New Roman"/>
          <w:sz w:val="24"/>
          <w:szCs w:val="24"/>
        </w:rPr>
        <w:t xml:space="preserve">college students </w:t>
      </w:r>
      <w:r w:rsidR="007A1478" w:rsidRPr="00E74148">
        <w:rPr>
          <w:rFonts w:ascii="Times New Roman" w:hAnsi="Times New Roman" w:cs="Times New Roman"/>
          <w:sz w:val="24"/>
          <w:szCs w:val="24"/>
        </w:rPr>
        <w:t xml:space="preserve">complete </w:t>
      </w:r>
      <w:r w:rsidR="007A1478">
        <w:rPr>
          <w:rFonts w:ascii="Times New Roman" w:hAnsi="Times New Roman" w:cs="Times New Roman"/>
          <w:sz w:val="24"/>
          <w:szCs w:val="24"/>
        </w:rPr>
        <w:t xml:space="preserve">their degree </w:t>
      </w:r>
      <w:r w:rsidR="007A1478" w:rsidRPr="00E74148">
        <w:rPr>
          <w:rFonts w:ascii="Times New Roman" w:hAnsi="Times New Roman" w:cs="Times New Roman"/>
          <w:sz w:val="24"/>
          <w:szCs w:val="24"/>
        </w:rPr>
        <w:t>at a diff</w:t>
      </w:r>
      <w:r w:rsidR="007A1478">
        <w:rPr>
          <w:rFonts w:ascii="Times New Roman" w:hAnsi="Times New Roman" w:cs="Times New Roman"/>
          <w:sz w:val="24"/>
          <w:szCs w:val="24"/>
        </w:rPr>
        <w:t xml:space="preserve">erent two-year institution, and </w:t>
      </w:r>
      <w:r w:rsidR="00797F27">
        <w:rPr>
          <w:rFonts w:ascii="Times New Roman" w:hAnsi="Times New Roman" w:cs="Times New Roman"/>
          <w:sz w:val="24"/>
          <w:szCs w:val="24"/>
        </w:rPr>
        <w:t xml:space="preserve">nearly </w:t>
      </w:r>
      <w:r w:rsidR="0075431E">
        <w:rPr>
          <w:rFonts w:ascii="Times New Roman" w:hAnsi="Times New Roman" w:cs="Times New Roman"/>
          <w:sz w:val="24"/>
          <w:szCs w:val="24"/>
        </w:rPr>
        <w:t>10</w:t>
      </w:r>
      <w:r w:rsidR="00CF1FB3">
        <w:rPr>
          <w:rFonts w:ascii="Times New Roman" w:hAnsi="Times New Roman" w:cs="Times New Roman"/>
          <w:sz w:val="24"/>
          <w:szCs w:val="24"/>
        </w:rPr>
        <w:t xml:space="preserve"> </w:t>
      </w:r>
      <w:r w:rsidR="007A1478">
        <w:rPr>
          <w:rFonts w:ascii="Times New Roman" w:hAnsi="Times New Roman" w:cs="Times New Roman"/>
          <w:sz w:val="24"/>
          <w:szCs w:val="24"/>
        </w:rPr>
        <w:t xml:space="preserve">percent complete their degree </w:t>
      </w:r>
      <w:r w:rsidR="007A1478" w:rsidRPr="00E74148">
        <w:rPr>
          <w:rFonts w:ascii="Times New Roman" w:hAnsi="Times New Roman" w:cs="Times New Roman"/>
          <w:sz w:val="24"/>
          <w:szCs w:val="24"/>
        </w:rPr>
        <w:t>a</w:t>
      </w:r>
      <w:r w:rsidR="007A1478">
        <w:rPr>
          <w:rFonts w:ascii="Times New Roman" w:hAnsi="Times New Roman" w:cs="Times New Roman"/>
          <w:sz w:val="24"/>
          <w:szCs w:val="24"/>
        </w:rPr>
        <w:t>t a</w:t>
      </w:r>
      <w:r w:rsidR="007A1478" w:rsidRPr="00E74148">
        <w:rPr>
          <w:rFonts w:ascii="Times New Roman" w:hAnsi="Times New Roman" w:cs="Times New Roman"/>
          <w:sz w:val="24"/>
          <w:szCs w:val="24"/>
        </w:rPr>
        <w:t xml:space="preserve"> diff</w:t>
      </w:r>
      <w:r w:rsidR="007A1478">
        <w:rPr>
          <w:rFonts w:ascii="Times New Roman" w:hAnsi="Times New Roman" w:cs="Times New Roman"/>
          <w:sz w:val="24"/>
          <w:szCs w:val="24"/>
        </w:rPr>
        <w:t>erent four-year institution.</w:t>
      </w:r>
      <w:r w:rsidR="0075431E">
        <w:rPr>
          <w:rFonts w:ascii="Times New Roman" w:hAnsi="Times New Roman" w:cs="Times New Roman"/>
          <w:sz w:val="24"/>
          <w:szCs w:val="24"/>
        </w:rPr>
        <w:t>)</w:t>
      </w:r>
      <w:r w:rsidR="00CF1FB3" w:rsidRPr="00CF1FB3">
        <w:rPr>
          <w:rFonts w:ascii="Times New Roman" w:hAnsi="Times New Roman" w:cs="Times New Roman"/>
          <w:sz w:val="24"/>
          <w:szCs w:val="24"/>
          <w:vertAlign w:val="superscript"/>
        </w:rPr>
        <w:t xml:space="preserve"> </w:t>
      </w:r>
      <w:r w:rsidR="00CF1FB3" w:rsidRPr="00E74148">
        <w:rPr>
          <w:rFonts w:ascii="Times New Roman" w:hAnsi="Times New Roman" w:cs="Times New Roman"/>
          <w:sz w:val="24"/>
          <w:szCs w:val="24"/>
          <w:vertAlign w:val="superscript"/>
        </w:rPr>
        <w:footnoteReference w:id="15"/>
      </w:r>
    </w:p>
    <w:p w14:paraId="0B4AB860" w14:textId="77777777" w:rsidR="00207ECA" w:rsidRDefault="00207ECA" w:rsidP="00207ECA">
      <w:pPr>
        <w:spacing w:line="240" w:lineRule="auto"/>
        <w:ind w:firstLine="720"/>
        <w:rPr>
          <w:rFonts w:ascii="Times New Roman" w:hAnsi="Times New Roman" w:cs="Times New Roman"/>
          <w:sz w:val="24"/>
          <w:szCs w:val="24"/>
        </w:rPr>
      </w:pPr>
    </w:p>
    <w:p w14:paraId="68F69D7A" w14:textId="2322F296" w:rsidR="00207ECA" w:rsidRPr="00207ECA" w:rsidRDefault="00207ECA" w:rsidP="00207ECA">
      <w:pPr>
        <w:spacing w:line="240" w:lineRule="auto"/>
        <w:jc w:val="center"/>
        <w:rPr>
          <w:rFonts w:ascii="Times New Roman" w:hAnsi="Times New Roman" w:cs="Times New Roman"/>
          <w:sz w:val="24"/>
          <w:szCs w:val="24"/>
        </w:rPr>
      </w:pPr>
      <w:r>
        <w:rPr>
          <w:rFonts w:ascii="Times New Roman" w:hAnsi="Times New Roman" w:cs="Times New Roman"/>
          <w:b/>
          <w:sz w:val="24"/>
          <w:szCs w:val="24"/>
        </w:rPr>
        <w:t>Figure 3</w:t>
      </w:r>
      <w:r w:rsidR="002141BD">
        <w:rPr>
          <w:rFonts w:ascii="Times New Roman" w:hAnsi="Times New Roman" w:cs="Times New Roman"/>
          <w:b/>
          <w:sz w:val="24"/>
          <w:szCs w:val="24"/>
        </w:rPr>
        <w:t>. Six-Year Outcomes for Students Entering</w:t>
      </w:r>
      <w:r w:rsidRPr="005C084A">
        <w:rPr>
          <w:rFonts w:ascii="Times New Roman" w:hAnsi="Times New Roman" w:cs="Times New Roman"/>
          <w:b/>
          <w:sz w:val="24"/>
          <w:szCs w:val="24"/>
        </w:rPr>
        <w:t xml:space="preserve"> Community College</w:t>
      </w:r>
      <w:r w:rsidR="002141BD">
        <w:rPr>
          <w:rFonts w:ascii="Times New Roman" w:hAnsi="Times New Roman" w:cs="Times New Roman"/>
          <w:b/>
          <w:sz w:val="24"/>
          <w:szCs w:val="24"/>
        </w:rPr>
        <w:t xml:space="preserve"> in 2008</w:t>
      </w:r>
    </w:p>
    <w:p w14:paraId="58044622" w14:textId="5120A092" w:rsidR="00207ECA" w:rsidRDefault="00B31820" w:rsidP="00207ECA">
      <w:pPr>
        <w:spacing w:line="240" w:lineRule="auto"/>
        <w:jc w:val="center"/>
        <w:rPr>
          <w:rFonts w:ascii="Times New Roman" w:hAnsi="Times New Roman" w:cs="Times New Roman"/>
          <w:sz w:val="24"/>
          <w:szCs w:val="24"/>
        </w:rPr>
      </w:pPr>
      <w:r>
        <w:rPr>
          <w:noProof/>
        </w:rPr>
        <w:drawing>
          <wp:inline distT="0" distB="0" distL="0" distR="0" wp14:anchorId="6BBCEFEE" wp14:editId="2B0657F8">
            <wp:extent cx="4648200" cy="2886075"/>
            <wp:effectExtent l="0" t="0" r="190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9345C5" w14:textId="77777777" w:rsidR="00ED22A2" w:rsidRPr="00ED22A2" w:rsidRDefault="00ED22A2" w:rsidP="00ED22A2">
      <w:pPr>
        <w:pStyle w:val="Heading3"/>
        <w:shd w:val="clear" w:color="auto" w:fill="FFFFFF"/>
        <w:spacing w:before="0"/>
        <w:jc w:val="center"/>
        <w:rPr>
          <w:rFonts w:ascii="Times New Roman" w:eastAsia="Times New Roman" w:hAnsi="Times New Roman" w:cs="Times New Roman"/>
          <w:b w:val="0"/>
          <w:bCs w:val="0"/>
          <w:color w:val="auto"/>
          <w:sz w:val="20"/>
        </w:rPr>
      </w:pPr>
      <w:r w:rsidRPr="00ED22A2">
        <w:rPr>
          <w:rFonts w:ascii="Times New Roman" w:hAnsi="Times New Roman" w:cs="Times New Roman"/>
          <w:b w:val="0"/>
          <w:color w:val="auto"/>
          <w:sz w:val="20"/>
        </w:rPr>
        <w:t xml:space="preserve">Source: </w:t>
      </w:r>
      <w:hyperlink r:id="rId12" w:history="1">
        <w:r w:rsidRPr="00ED22A2">
          <w:rPr>
            <w:rFonts w:ascii="Times New Roman" w:eastAsia="Times New Roman" w:hAnsi="Times New Roman" w:cs="Times New Roman"/>
            <w:b w:val="0"/>
            <w:bCs w:val="0"/>
            <w:color w:val="auto"/>
            <w:sz w:val="20"/>
          </w:rPr>
          <w:t>National Student Clearinghouse Research Center</w:t>
        </w:r>
      </w:hyperlink>
    </w:p>
    <w:p w14:paraId="27E32421" w14:textId="77777777" w:rsidR="00207ECA" w:rsidRPr="00ED22A2" w:rsidRDefault="00207ECA" w:rsidP="00ED22A2">
      <w:pPr>
        <w:spacing w:line="240" w:lineRule="auto"/>
        <w:rPr>
          <w:rFonts w:ascii="Times New Roman" w:hAnsi="Times New Roman" w:cs="Times New Roman"/>
          <w:color w:val="auto"/>
          <w:sz w:val="24"/>
          <w:szCs w:val="24"/>
        </w:rPr>
      </w:pPr>
    </w:p>
    <w:p w14:paraId="5C417F64" w14:textId="4C8FF625" w:rsidR="00A011F8" w:rsidRPr="00E74148" w:rsidRDefault="00A70A26" w:rsidP="00207ECA">
      <w:pPr>
        <w:spacing w:line="240" w:lineRule="auto"/>
        <w:ind w:firstLine="720"/>
        <w:rPr>
          <w:rFonts w:ascii="Times New Roman" w:hAnsi="Times New Roman" w:cs="Times New Roman"/>
          <w:sz w:val="24"/>
          <w:szCs w:val="24"/>
        </w:rPr>
      </w:pPr>
      <w:r w:rsidRPr="00ED22A2">
        <w:rPr>
          <w:rFonts w:ascii="Times New Roman" w:hAnsi="Times New Roman" w:cs="Times New Roman"/>
          <w:color w:val="auto"/>
          <w:sz w:val="24"/>
          <w:szCs w:val="24"/>
        </w:rPr>
        <w:t xml:space="preserve">In contrast, U.S. </w:t>
      </w:r>
      <w:r w:rsidR="00434D61" w:rsidRPr="00ED22A2">
        <w:rPr>
          <w:rFonts w:ascii="Times New Roman" w:hAnsi="Times New Roman" w:cs="Times New Roman"/>
          <w:color w:val="auto"/>
          <w:sz w:val="24"/>
          <w:szCs w:val="24"/>
        </w:rPr>
        <w:t xml:space="preserve">private </w:t>
      </w:r>
      <w:r w:rsidR="00A011F8" w:rsidRPr="00ED22A2">
        <w:rPr>
          <w:rFonts w:ascii="Times New Roman" w:hAnsi="Times New Roman" w:cs="Times New Roman"/>
          <w:color w:val="auto"/>
          <w:sz w:val="24"/>
          <w:szCs w:val="24"/>
        </w:rPr>
        <w:t>f</w:t>
      </w:r>
      <w:r w:rsidR="00AE2BEB" w:rsidRPr="00ED22A2">
        <w:rPr>
          <w:rFonts w:ascii="Times New Roman" w:hAnsi="Times New Roman" w:cs="Times New Roman"/>
          <w:color w:val="auto"/>
          <w:sz w:val="24"/>
          <w:szCs w:val="24"/>
        </w:rPr>
        <w:t>or-profit</w:t>
      </w:r>
      <w:r w:rsidR="00434D61" w:rsidRPr="00ED22A2">
        <w:rPr>
          <w:rFonts w:ascii="Times New Roman" w:hAnsi="Times New Roman" w:cs="Times New Roman"/>
          <w:color w:val="auto"/>
          <w:sz w:val="24"/>
          <w:szCs w:val="24"/>
        </w:rPr>
        <w:t xml:space="preserve"> two-year</w:t>
      </w:r>
      <w:r w:rsidR="00AE2BEB" w:rsidRPr="00ED22A2">
        <w:rPr>
          <w:rFonts w:ascii="Times New Roman" w:hAnsi="Times New Roman" w:cs="Times New Roman"/>
          <w:color w:val="auto"/>
          <w:sz w:val="24"/>
          <w:szCs w:val="24"/>
        </w:rPr>
        <w:t xml:space="preserve"> colleges </w:t>
      </w:r>
      <w:r w:rsidR="00ED7087" w:rsidRPr="00ED22A2">
        <w:rPr>
          <w:rFonts w:ascii="Times New Roman" w:hAnsi="Times New Roman" w:cs="Times New Roman"/>
          <w:color w:val="auto"/>
          <w:sz w:val="24"/>
          <w:szCs w:val="24"/>
        </w:rPr>
        <w:t xml:space="preserve">experience </w:t>
      </w:r>
      <w:r w:rsidR="00A011F8" w:rsidRPr="00ED22A2">
        <w:rPr>
          <w:rFonts w:ascii="Times New Roman" w:hAnsi="Times New Roman" w:cs="Times New Roman"/>
          <w:color w:val="auto"/>
          <w:sz w:val="24"/>
          <w:szCs w:val="24"/>
        </w:rPr>
        <w:t xml:space="preserve">six-year </w:t>
      </w:r>
      <w:r w:rsidR="00A011F8" w:rsidRPr="00E74148">
        <w:rPr>
          <w:rFonts w:ascii="Times New Roman" w:hAnsi="Times New Roman" w:cs="Times New Roman"/>
          <w:sz w:val="24"/>
          <w:szCs w:val="24"/>
        </w:rPr>
        <w:t>completion rates</w:t>
      </w:r>
      <w:r w:rsidR="00ED7087">
        <w:rPr>
          <w:rFonts w:ascii="Times New Roman" w:hAnsi="Times New Roman" w:cs="Times New Roman"/>
          <w:sz w:val="24"/>
          <w:szCs w:val="24"/>
        </w:rPr>
        <w:t xml:space="preserve"> of about 57 percent</w:t>
      </w:r>
      <w:r w:rsidR="002027FE">
        <w:rPr>
          <w:rFonts w:ascii="Times New Roman" w:hAnsi="Times New Roman" w:cs="Times New Roman"/>
          <w:sz w:val="24"/>
          <w:szCs w:val="24"/>
        </w:rPr>
        <w:t>,</w:t>
      </w:r>
      <w:r w:rsidR="00A011F8" w:rsidRPr="00E74148">
        <w:rPr>
          <w:rFonts w:ascii="Times New Roman" w:hAnsi="Times New Roman" w:cs="Times New Roman"/>
          <w:sz w:val="24"/>
          <w:szCs w:val="24"/>
        </w:rPr>
        <w:t xml:space="preserve"> and </w:t>
      </w:r>
      <w:r w:rsidR="00434D61">
        <w:rPr>
          <w:rFonts w:ascii="Times New Roman" w:hAnsi="Times New Roman" w:cs="Times New Roman"/>
          <w:sz w:val="24"/>
          <w:szCs w:val="24"/>
        </w:rPr>
        <w:t xml:space="preserve">private non-profit </w:t>
      </w:r>
      <w:r w:rsidR="00A011F8" w:rsidRPr="00E74148">
        <w:rPr>
          <w:rFonts w:ascii="Times New Roman" w:hAnsi="Times New Roman" w:cs="Times New Roman"/>
          <w:sz w:val="24"/>
          <w:szCs w:val="24"/>
        </w:rPr>
        <w:t xml:space="preserve">two-year </w:t>
      </w:r>
      <w:r w:rsidR="00402912">
        <w:rPr>
          <w:rFonts w:ascii="Times New Roman" w:hAnsi="Times New Roman" w:cs="Times New Roman"/>
          <w:sz w:val="24"/>
          <w:szCs w:val="24"/>
        </w:rPr>
        <w:t>colleges</w:t>
      </w:r>
      <w:r w:rsidR="00934638">
        <w:rPr>
          <w:rFonts w:ascii="Times New Roman" w:hAnsi="Times New Roman" w:cs="Times New Roman"/>
          <w:sz w:val="24"/>
          <w:szCs w:val="24"/>
        </w:rPr>
        <w:t>,</w:t>
      </w:r>
      <w:r w:rsidR="00402912">
        <w:rPr>
          <w:rFonts w:ascii="Times New Roman" w:hAnsi="Times New Roman" w:cs="Times New Roman"/>
          <w:sz w:val="24"/>
          <w:szCs w:val="24"/>
        </w:rPr>
        <w:t xml:space="preserve"> 36</w:t>
      </w:r>
      <w:r w:rsidR="000B3D82">
        <w:rPr>
          <w:rFonts w:ascii="Times New Roman" w:hAnsi="Times New Roman" w:cs="Times New Roman"/>
          <w:sz w:val="24"/>
          <w:szCs w:val="24"/>
        </w:rPr>
        <w:t xml:space="preserve"> </w:t>
      </w:r>
      <w:r w:rsidR="00402912">
        <w:rPr>
          <w:rFonts w:ascii="Times New Roman" w:hAnsi="Times New Roman" w:cs="Times New Roman"/>
          <w:sz w:val="24"/>
          <w:szCs w:val="24"/>
        </w:rPr>
        <w:t>percent</w:t>
      </w:r>
      <w:r w:rsidR="007A1478">
        <w:rPr>
          <w:rFonts w:ascii="Times New Roman" w:hAnsi="Times New Roman" w:cs="Times New Roman"/>
          <w:sz w:val="24"/>
          <w:szCs w:val="24"/>
        </w:rPr>
        <w:t>.</w:t>
      </w:r>
      <w:r w:rsidR="0075431E">
        <w:rPr>
          <w:rFonts w:ascii="Times New Roman" w:hAnsi="Times New Roman" w:cs="Times New Roman"/>
          <w:sz w:val="24"/>
          <w:szCs w:val="24"/>
        </w:rPr>
        <w:t xml:space="preserve"> </w:t>
      </w:r>
      <w:r w:rsidR="000B3D82">
        <w:rPr>
          <w:rFonts w:ascii="Times New Roman" w:hAnsi="Times New Roman" w:cs="Times New Roman"/>
          <w:sz w:val="24"/>
          <w:szCs w:val="24"/>
        </w:rPr>
        <w:t>Further,</w:t>
      </w:r>
      <w:r w:rsidR="00B401CC">
        <w:rPr>
          <w:rFonts w:ascii="Times New Roman" w:hAnsi="Times New Roman" w:cs="Times New Roman"/>
          <w:sz w:val="24"/>
          <w:szCs w:val="24"/>
        </w:rPr>
        <w:t xml:space="preserve"> for students entering two-year colleges between 2000 and 2010</w:t>
      </w:r>
      <w:r w:rsidR="00C76299">
        <w:rPr>
          <w:rFonts w:ascii="Times New Roman" w:hAnsi="Times New Roman" w:cs="Times New Roman"/>
          <w:sz w:val="24"/>
          <w:szCs w:val="24"/>
        </w:rPr>
        <w:t>, only community colleges saw decreased graduation rates</w:t>
      </w:r>
      <w:r w:rsidR="00B401CC">
        <w:rPr>
          <w:rFonts w:ascii="Times New Roman" w:hAnsi="Times New Roman" w:cs="Times New Roman"/>
          <w:sz w:val="24"/>
          <w:szCs w:val="24"/>
        </w:rPr>
        <w:t xml:space="preserve"> (17 percent)</w:t>
      </w:r>
      <w:r w:rsidR="0026240F">
        <w:rPr>
          <w:rFonts w:ascii="Times New Roman" w:hAnsi="Times New Roman" w:cs="Times New Roman"/>
          <w:sz w:val="24"/>
          <w:szCs w:val="24"/>
        </w:rPr>
        <w:t>.</w:t>
      </w:r>
      <w:r w:rsidR="00C76299">
        <w:rPr>
          <w:rStyle w:val="FootnoteReference"/>
          <w:rFonts w:ascii="Times New Roman" w:hAnsi="Times New Roman" w:cs="Times New Roman"/>
          <w:sz w:val="24"/>
          <w:szCs w:val="24"/>
        </w:rPr>
        <w:footnoteReference w:id="16"/>
      </w:r>
      <w:r w:rsidR="00207ECA" w:rsidRPr="00207ECA">
        <w:rPr>
          <w:rFonts w:ascii="Times New Roman" w:hAnsi="Times New Roman" w:cs="Times New Roman"/>
          <w:sz w:val="24"/>
          <w:szCs w:val="24"/>
        </w:rPr>
        <w:t xml:space="preserve"> </w:t>
      </w:r>
      <w:r w:rsidR="00207ECA">
        <w:rPr>
          <w:rFonts w:ascii="Times New Roman" w:hAnsi="Times New Roman" w:cs="Times New Roman"/>
          <w:sz w:val="24"/>
          <w:szCs w:val="24"/>
        </w:rPr>
        <w:t>In addition to low graduation rates, U.S. c</w:t>
      </w:r>
      <w:r w:rsidR="00207ECA" w:rsidRPr="008A50DE">
        <w:rPr>
          <w:rFonts w:ascii="Times New Roman" w:hAnsi="Times New Roman" w:cs="Times New Roman"/>
          <w:sz w:val="24"/>
          <w:szCs w:val="24"/>
        </w:rPr>
        <w:t>ommunity colleges</w:t>
      </w:r>
      <w:r w:rsidR="00207ECA" w:rsidRPr="00E74148">
        <w:rPr>
          <w:rFonts w:ascii="Times New Roman" w:hAnsi="Times New Roman" w:cs="Times New Roman"/>
          <w:sz w:val="24"/>
          <w:szCs w:val="24"/>
        </w:rPr>
        <w:t xml:space="preserve"> trans</w:t>
      </w:r>
      <w:r w:rsidR="00207ECA">
        <w:rPr>
          <w:rFonts w:ascii="Times New Roman" w:hAnsi="Times New Roman" w:cs="Times New Roman"/>
          <w:sz w:val="24"/>
          <w:szCs w:val="24"/>
        </w:rPr>
        <w:t xml:space="preserve">ition only 20 percent –25 percent of their </w:t>
      </w:r>
      <w:r w:rsidR="00207ECA" w:rsidRPr="00E74148">
        <w:rPr>
          <w:rFonts w:ascii="Times New Roman" w:hAnsi="Times New Roman" w:cs="Times New Roman"/>
          <w:sz w:val="24"/>
          <w:szCs w:val="24"/>
        </w:rPr>
        <w:t>stud</w:t>
      </w:r>
      <w:r w:rsidR="00207ECA">
        <w:rPr>
          <w:rFonts w:ascii="Times New Roman" w:hAnsi="Times New Roman" w:cs="Times New Roman"/>
          <w:sz w:val="24"/>
          <w:szCs w:val="24"/>
        </w:rPr>
        <w:t>ents to four-year colleges.</w:t>
      </w:r>
      <w:r w:rsidR="00207ECA" w:rsidRPr="00E74148">
        <w:rPr>
          <w:rFonts w:ascii="Times New Roman" w:hAnsi="Times New Roman" w:cs="Times New Roman"/>
          <w:sz w:val="24"/>
          <w:szCs w:val="24"/>
          <w:vertAlign w:val="superscript"/>
        </w:rPr>
        <w:footnoteReference w:id="17"/>
      </w:r>
    </w:p>
    <w:p w14:paraId="35923932" w14:textId="0323AFBD" w:rsidR="004A0941" w:rsidRDefault="003A2612" w:rsidP="00176177">
      <w:pPr>
        <w:spacing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A011F8" w:rsidRPr="00E74148">
        <w:rPr>
          <w:rFonts w:ascii="Times New Roman" w:hAnsi="Times New Roman" w:cs="Times New Roman"/>
          <w:sz w:val="24"/>
          <w:szCs w:val="24"/>
        </w:rPr>
        <w:t xml:space="preserve">espite their low cost, </w:t>
      </w:r>
      <w:r>
        <w:rPr>
          <w:rFonts w:ascii="Times New Roman" w:hAnsi="Times New Roman" w:cs="Times New Roman"/>
          <w:sz w:val="24"/>
          <w:szCs w:val="24"/>
        </w:rPr>
        <w:t xml:space="preserve">U.S. </w:t>
      </w:r>
      <w:r w:rsidR="00A011F8" w:rsidRPr="00E74148">
        <w:rPr>
          <w:rFonts w:ascii="Times New Roman" w:hAnsi="Times New Roman" w:cs="Times New Roman"/>
          <w:sz w:val="24"/>
          <w:szCs w:val="24"/>
        </w:rPr>
        <w:t xml:space="preserve">community colleges </w:t>
      </w:r>
      <w:r w:rsidR="00207ECA">
        <w:rPr>
          <w:rFonts w:ascii="Times New Roman" w:hAnsi="Times New Roman" w:cs="Times New Roman"/>
          <w:sz w:val="24"/>
          <w:szCs w:val="24"/>
        </w:rPr>
        <w:t xml:space="preserve">also </w:t>
      </w:r>
      <w:r w:rsidR="00A011F8" w:rsidRPr="00E74148">
        <w:rPr>
          <w:rFonts w:ascii="Times New Roman" w:hAnsi="Times New Roman" w:cs="Times New Roman"/>
          <w:sz w:val="24"/>
          <w:szCs w:val="24"/>
        </w:rPr>
        <w:t>e</w:t>
      </w:r>
      <w:r w:rsidR="00207ECA">
        <w:rPr>
          <w:rFonts w:ascii="Times New Roman" w:hAnsi="Times New Roman" w:cs="Times New Roman"/>
          <w:sz w:val="24"/>
          <w:szCs w:val="24"/>
        </w:rPr>
        <w:t>xperience</w:t>
      </w:r>
      <w:r w:rsidR="00A011F8" w:rsidRPr="00E74148">
        <w:rPr>
          <w:rFonts w:ascii="Times New Roman" w:hAnsi="Times New Roman" w:cs="Times New Roman"/>
          <w:sz w:val="24"/>
          <w:szCs w:val="24"/>
        </w:rPr>
        <w:t xml:space="preserve"> the</w:t>
      </w:r>
      <w:r>
        <w:rPr>
          <w:rFonts w:ascii="Times New Roman" w:hAnsi="Times New Roman" w:cs="Times New Roman"/>
          <w:sz w:val="24"/>
          <w:szCs w:val="24"/>
        </w:rPr>
        <w:t xml:space="preserve"> highest three-year student loan default rate</w:t>
      </w:r>
      <w:r w:rsidR="00B31EC8">
        <w:rPr>
          <w:rFonts w:ascii="Times New Roman" w:hAnsi="Times New Roman" w:cs="Times New Roman"/>
          <w:sz w:val="24"/>
          <w:szCs w:val="24"/>
        </w:rPr>
        <w:t>s</w:t>
      </w:r>
      <w:r w:rsidR="000F3CCE">
        <w:rPr>
          <w:rStyle w:val="FootnoteReference"/>
          <w:rFonts w:ascii="Times New Roman" w:hAnsi="Times New Roman" w:cs="Times New Roman"/>
          <w:sz w:val="24"/>
          <w:szCs w:val="24"/>
        </w:rPr>
        <w:footnoteReference w:id="18"/>
      </w:r>
      <w:r>
        <w:rPr>
          <w:rFonts w:ascii="Times New Roman" w:hAnsi="Times New Roman" w:cs="Times New Roman"/>
          <w:sz w:val="24"/>
          <w:szCs w:val="24"/>
        </w:rPr>
        <w:t>—21 percent</w:t>
      </w:r>
      <w:r w:rsidR="001A495A">
        <w:rPr>
          <w:rFonts w:ascii="Times New Roman" w:hAnsi="Times New Roman" w:cs="Times New Roman"/>
          <w:sz w:val="24"/>
          <w:szCs w:val="24"/>
        </w:rPr>
        <w:t xml:space="preserve"> in 2011</w:t>
      </w:r>
      <w:r w:rsidR="007772BC">
        <w:rPr>
          <w:rFonts w:ascii="Times New Roman" w:hAnsi="Times New Roman" w:cs="Times New Roman"/>
          <w:sz w:val="24"/>
          <w:szCs w:val="24"/>
        </w:rPr>
        <w:t xml:space="preserve">, </w:t>
      </w:r>
      <w:r w:rsidR="00BA21AA">
        <w:rPr>
          <w:rFonts w:ascii="Times New Roman" w:hAnsi="Times New Roman" w:cs="Times New Roman"/>
          <w:sz w:val="24"/>
          <w:szCs w:val="24"/>
        </w:rPr>
        <w:t>up from 18.7 percent in 20</w:t>
      </w:r>
      <w:r w:rsidR="00EE574B">
        <w:rPr>
          <w:rFonts w:ascii="Times New Roman" w:hAnsi="Times New Roman" w:cs="Times New Roman"/>
          <w:sz w:val="24"/>
          <w:szCs w:val="24"/>
        </w:rPr>
        <w:t>09</w:t>
      </w:r>
      <w:r w:rsidR="005260DD" w:rsidRPr="00E74148">
        <w:rPr>
          <w:rFonts w:ascii="Times New Roman" w:hAnsi="Times New Roman" w:cs="Times New Roman"/>
          <w:sz w:val="24"/>
          <w:szCs w:val="24"/>
          <w:vertAlign w:val="superscript"/>
        </w:rPr>
        <w:footnoteReference w:id="19"/>
      </w:r>
      <w:r>
        <w:rPr>
          <w:rFonts w:ascii="Times New Roman" w:hAnsi="Times New Roman" w:cs="Times New Roman"/>
          <w:sz w:val="24"/>
          <w:szCs w:val="24"/>
        </w:rPr>
        <w:t>—of any higher-ed sector</w:t>
      </w:r>
      <w:r w:rsidR="00472188">
        <w:rPr>
          <w:rFonts w:ascii="Times New Roman" w:hAnsi="Times New Roman" w:cs="Times New Roman"/>
          <w:sz w:val="24"/>
          <w:szCs w:val="24"/>
        </w:rPr>
        <w:t xml:space="preserve"> (the average for all U.S. higher-ed sectors is </w:t>
      </w:r>
      <w:r w:rsidR="004A0941">
        <w:rPr>
          <w:rFonts w:ascii="Times New Roman" w:hAnsi="Times New Roman" w:cs="Times New Roman"/>
          <w:sz w:val="24"/>
          <w:szCs w:val="24"/>
        </w:rPr>
        <w:t xml:space="preserve">about </w:t>
      </w:r>
      <w:r w:rsidR="00472188">
        <w:rPr>
          <w:rFonts w:ascii="Times New Roman" w:hAnsi="Times New Roman" w:cs="Times New Roman"/>
          <w:sz w:val="24"/>
          <w:szCs w:val="24"/>
        </w:rPr>
        <w:t>14 percent)</w:t>
      </w:r>
      <w:r w:rsidR="001A495A">
        <w:rPr>
          <w:rFonts w:ascii="Times New Roman" w:hAnsi="Times New Roman" w:cs="Times New Roman"/>
          <w:sz w:val="24"/>
          <w:szCs w:val="24"/>
        </w:rPr>
        <w:t xml:space="preserve"> (</w:t>
      </w:r>
      <w:r w:rsidR="003A6B6B">
        <w:rPr>
          <w:rFonts w:ascii="Times New Roman" w:hAnsi="Times New Roman" w:cs="Times New Roman"/>
          <w:b/>
          <w:sz w:val="24"/>
          <w:szCs w:val="24"/>
        </w:rPr>
        <w:t>Figure 4</w:t>
      </w:r>
      <w:r w:rsidR="001A495A">
        <w:rPr>
          <w:rFonts w:ascii="Times New Roman" w:hAnsi="Times New Roman" w:cs="Times New Roman"/>
          <w:sz w:val="24"/>
          <w:szCs w:val="24"/>
        </w:rPr>
        <w:t>)</w:t>
      </w:r>
      <w:r w:rsidR="00BA21AA">
        <w:rPr>
          <w:rFonts w:ascii="Times New Roman" w:hAnsi="Times New Roman" w:cs="Times New Roman"/>
          <w:sz w:val="24"/>
          <w:szCs w:val="24"/>
        </w:rPr>
        <w:t>.</w:t>
      </w:r>
      <w:r w:rsidR="00472188" w:rsidRPr="00E74148">
        <w:rPr>
          <w:rFonts w:ascii="Times New Roman" w:hAnsi="Times New Roman" w:cs="Times New Roman"/>
          <w:sz w:val="24"/>
          <w:szCs w:val="24"/>
          <w:vertAlign w:val="superscript"/>
        </w:rPr>
        <w:footnoteReference w:id="20"/>
      </w:r>
      <w:r w:rsidR="004709AE">
        <w:rPr>
          <w:rFonts w:ascii="Times New Roman" w:hAnsi="Times New Roman" w:cs="Times New Roman"/>
          <w:sz w:val="24"/>
          <w:szCs w:val="24"/>
        </w:rPr>
        <w:t xml:space="preserve"> </w:t>
      </w:r>
      <w:r w:rsidR="004A0941">
        <w:rPr>
          <w:rFonts w:ascii="Times New Roman" w:hAnsi="Times New Roman" w:cs="Times New Roman"/>
          <w:sz w:val="24"/>
          <w:szCs w:val="24"/>
        </w:rPr>
        <w:t>Further, t</w:t>
      </w:r>
      <w:r w:rsidR="005260DD">
        <w:rPr>
          <w:rFonts w:ascii="Times New Roman" w:hAnsi="Times New Roman" w:cs="Times New Roman"/>
          <w:sz w:val="24"/>
          <w:szCs w:val="24"/>
        </w:rPr>
        <w:t>he growth in community college student</w:t>
      </w:r>
      <w:r w:rsidR="0046116A">
        <w:rPr>
          <w:rFonts w:ascii="Times New Roman" w:hAnsi="Times New Roman" w:cs="Times New Roman"/>
          <w:sz w:val="24"/>
          <w:szCs w:val="24"/>
        </w:rPr>
        <w:t>s’</w:t>
      </w:r>
      <w:r w:rsidR="005260DD">
        <w:rPr>
          <w:rFonts w:ascii="Times New Roman" w:hAnsi="Times New Roman" w:cs="Times New Roman"/>
          <w:sz w:val="24"/>
          <w:szCs w:val="24"/>
        </w:rPr>
        <w:t xml:space="preserve"> default rates </w:t>
      </w:r>
      <w:r w:rsidR="003708C7">
        <w:rPr>
          <w:rFonts w:ascii="Times New Roman" w:hAnsi="Times New Roman" w:cs="Times New Roman"/>
          <w:sz w:val="24"/>
          <w:szCs w:val="24"/>
        </w:rPr>
        <w:t>from 20</w:t>
      </w:r>
      <w:r w:rsidR="008419B7">
        <w:rPr>
          <w:rFonts w:ascii="Times New Roman" w:hAnsi="Times New Roman" w:cs="Times New Roman"/>
          <w:sz w:val="24"/>
          <w:szCs w:val="24"/>
        </w:rPr>
        <w:t>09</w:t>
      </w:r>
      <w:r w:rsidR="005260DD">
        <w:rPr>
          <w:rFonts w:ascii="Times New Roman" w:hAnsi="Times New Roman" w:cs="Times New Roman"/>
          <w:sz w:val="24"/>
          <w:szCs w:val="24"/>
        </w:rPr>
        <w:t xml:space="preserve"> to 2011 </w:t>
      </w:r>
      <w:r w:rsidR="007772BC" w:rsidRPr="00E74148">
        <w:rPr>
          <w:rFonts w:ascii="Times New Roman" w:hAnsi="Times New Roman" w:cs="Times New Roman"/>
          <w:sz w:val="24"/>
          <w:szCs w:val="24"/>
        </w:rPr>
        <w:t xml:space="preserve">was second only to that </w:t>
      </w:r>
      <w:r w:rsidR="005260DD">
        <w:rPr>
          <w:rFonts w:ascii="Times New Roman" w:hAnsi="Times New Roman" w:cs="Times New Roman"/>
          <w:sz w:val="24"/>
          <w:szCs w:val="24"/>
        </w:rPr>
        <w:t xml:space="preserve">experienced by students </w:t>
      </w:r>
      <w:r w:rsidR="007772BC" w:rsidRPr="00E74148">
        <w:rPr>
          <w:rFonts w:ascii="Times New Roman" w:hAnsi="Times New Roman" w:cs="Times New Roman"/>
          <w:sz w:val="24"/>
          <w:szCs w:val="24"/>
        </w:rPr>
        <w:t xml:space="preserve">at four-year public </w:t>
      </w:r>
      <w:r w:rsidR="004A0941">
        <w:rPr>
          <w:rFonts w:ascii="Times New Roman" w:hAnsi="Times New Roman" w:cs="Times New Roman"/>
          <w:sz w:val="24"/>
          <w:szCs w:val="24"/>
        </w:rPr>
        <w:t>colleges.</w:t>
      </w:r>
      <w:r w:rsidR="007772BC" w:rsidRPr="00E74148">
        <w:rPr>
          <w:rFonts w:ascii="Times New Roman" w:hAnsi="Times New Roman" w:cs="Times New Roman"/>
          <w:sz w:val="24"/>
          <w:szCs w:val="24"/>
          <w:vertAlign w:val="superscript"/>
        </w:rPr>
        <w:footnoteReference w:id="21"/>
      </w:r>
    </w:p>
    <w:p w14:paraId="1168BA45" w14:textId="77777777" w:rsidR="00504350" w:rsidRDefault="00504350" w:rsidP="00504350">
      <w:pPr>
        <w:spacing w:line="240" w:lineRule="auto"/>
        <w:rPr>
          <w:rFonts w:ascii="Times New Roman" w:hAnsi="Times New Roman" w:cs="Times New Roman"/>
          <w:sz w:val="24"/>
          <w:szCs w:val="24"/>
        </w:rPr>
      </w:pPr>
    </w:p>
    <w:p w14:paraId="20CD4F11" w14:textId="7B28D3B3" w:rsidR="00504350" w:rsidRPr="00B13F83" w:rsidRDefault="00504350" w:rsidP="005043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Pr="00B13F83">
        <w:rPr>
          <w:rFonts w:ascii="Times New Roman" w:hAnsi="Times New Roman" w:cs="Times New Roman"/>
          <w:b/>
          <w:sz w:val="24"/>
          <w:szCs w:val="24"/>
        </w:rPr>
        <w:t>. Three-Year Student Loan Default Rates, 2011</w:t>
      </w:r>
      <w:r w:rsidR="00636C80">
        <w:rPr>
          <w:rFonts w:ascii="Times New Roman" w:hAnsi="Times New Roman" w:cs="Times New Roman"/>
          <w:b/>
          <w:sz w:val="24"/>
          <w:szCs w:val="24"/>
        </w:rPr>
        <w:t>*</w:t>
      </w:r>
    </w:p>
    <w:p w14:paraId="7F5F0288" w14:textId="5DE38EB1" w:rsidR="00504350" w:rsidRDefault="00636C80" w:rsidP="00504350">
      <w:pPr>
        <w:spacing w:line="240" w:lineRule="auto"/>
        <w:jc w:val="center"/>
        <w:rPr>
          <w:rFonts w:ascii="Times New Roman" w:hAnsi="Times New Roman" w:cs="Times New Roman"/>
          <w:sz w:val="24"/>
          <w:szCs w:val="24"/>
        </w:rPr>
      </w:pPr>
      <w:r>
        <w:rPr>
          <w:noProof/>
        </w:rPr>
        <w:drawing>
          <wp:inline distT="0" distB="0" distL="0" distR="0" wp14:anchorId="7DE60233" wp14:editId="36B69058">
            <wp:extent cx="4648200" cy="287655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2BABE9" w14:textId="40F76606" w:rsidR="00636C80" w:rsidRDefault="00636C80" w:rsidP="00504350">
      <w:pPr>
        <w:spacing w:line="240" w:lineRule="auto"/>
        <w:jc w:val="center"/>
        <w:rPr>
          <w:rFonts w:ascii="Times New Roman" w:hAnsi="Times New Roman" w:cs="Times New Roman"/>
          <w:sz w:val="20"/>
        </w:rPr>
      </w:pPr>
      <w:r>
        <w:rPr>
          <w:rFonts w:ascii="Times New Roman" w:hAnsi="Times New Roman" w:cs="Times New Roman"/>
          <w:sz w:val="20"/>
        </w:rPr>
        <w:t>*P</w:t>
      </w:r>
      <w:r w:rsidRPr="00867388">
        <w:rPr>
          <w:rFonts w:ascii="Times New Roman" w:hAnsi="Times New Roman" w:cs="Times New Roman"/>
          <w:sz w:val="20"/>
        </w:rPr>
        <w:t>ercentage of student</w:t>
      </w:r>
      <w:r>
        <w:rPr>
          <w:rFonts w:ascii="Times New Roman" w:hAnsi="Times New Roman" w:cs="Times New Roman"/>
        </w:rPr>
        <w:t>s</w:t>
      </w:r>
      <w:r w:rsidRPr="00867388">
        <w:rPr>
          <w:rFonts w:ascii="Times New Roman" w:hAnsi="Times New Roman" w:cs="Times New Roman"/>
          <w:sz w:val="20"/>
        </w:rPr>
        <w:t xml:space="preserve"> who have entered repayment on their loans and default within three years</w:t>
      </w:r>
      <w:r>
        <w:rPr>
          <w:rFonts w:ascii="Times New Roman" w:hAnsi="Times New Roman" w:cs="Times New Roman"/>
          <w:sz w:val="20"/>
        </w:rPr>
        <w:t xml:space="preserve">. For 2011, federal </w:t>
      </w:r>
      <w:r w:rsidRPr="00867388">
        <w:rPr>
          <w:rFonts w:ascii="Times New Roman" w:hAnsi="Times New Roman" w:cs="Times New Roman"/>
          <w:sz w:val="20"/>
        </w:rPr>
        <w:t>fiscal year</w:t>
      </w:r>
      <w:r>
        <w:rPr>
          <w:rFonts w:ascii="Times New Roman" w:hAnsi="Times New Roman" w:cs="Times New Roman"/>
          <w:sz w:val="20"/>
        </w:rPr>
        <w:t xml:space="preserve"> used (</w:t>
      </w:r>
      <w:r w:rsidRPr="00867388">
        <w:rPr>
          <w:rFonts w:ascii="Times New Roman" w:hAnsi="Times New Roman" w:cs="Times New Roman"/>
          <w:sz w:val="20"/>
        </w:rPr>
        <w:t>October 1, 2010–September 30, 2011</w:t>
      </w:r>
      <w:r>
        <w:rPr>
          <w:rFonts w:ascii="Times New Roman" w:hAnsi="Times New Roman" w:cs="Times New Roman"/>
          <w:sz w:val="20"/>
        </w:rPr>
        <w:t>).</w:t>
      </w:r>
    </w:p>
    <w:p w14:paraId="7AF126EB" w14:textId="77777777" w:rsidR="00504350" w:rsidRPr="003A6B6B" w:rsidRDefault="00504350" w:rsidP="00504350">
      <w:pPr>
        <w:spacing w:line="240" w:lineRule="auto"/>
        <w:jc w:val="center"/>
        <w:rPr>
          <w:rFonts w:ascii="Times New Roman" w:hAnsi="Times New Roman" w:cs="Times New Roman"/>
          <w:sz w:val="20"/>
        </w:rPr>
      </w:pPr>
      <w:r>
        <w:rPr>
          <w:rFonts w:ascii="Times New Roman" w:hAnsi="Times New Roman" w:cs="Times New Roman"/>
          <w:sz w:val="20"/>
        </w:rPr>
        <w:t>Source: College Board</w:t>
      </w:r>
    </w:p>
    <w:p w14:paraId="79BE9E56" w14:textId="77777777" w:rsidR="00504350" w:rsidRDefault="00504350" w:rsidP="00504350">
      <w:pPr>
        <w:spacing w:line="240" w:lineRule="auto"/>
        <w:rPr>
          <w:rFonts w:ascii="Times New Roman" w:hAnsi="Times New Roman" w:cs="Times New Roman"/>
          <w:sz w:val="24"/>
          <w:szCs w:val="24"/>
        </w:rPr>
      </w:pPr>
    </w:p>
    <w:p w14:paraId="24B5CF2B" w14:textId="35FA4D3A" w:rsidR="00A011F8" w:rsidRDefault="004A0941" w:rsidP="00176177">
      <w:pPr>
        <w:spacing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5260DD">
        <w:rPr>
          <w:rFonts w:ascii="Times New Roman" w:hAnsi="Times New Roman" w:cs="Times New Roman"/>
          <w:sz w:val="24"/>
          <w:szCs w:val="24"/>
        </w:rPr>
        <w:t xml:space="preserve">uring 2004–05 to 2013–14, federal spending on </w:t>
      </w:r>
      <w:r w:rsidR="007772BC" w:rsidRPr="00E74148">
        <w:rPr>
          <w:rFonts w:ascii="Times New Roman" w:hAnsi="Times New Roman" w:cs="Times New Roman"/>
          <w:sz w:val="24"/>
          <w:szCs w:val="24"/>
        </w:rPr>
        <w:t xml:space="preserve">community college </w:t>
      </w:r>
      <w:r w:rsidR="00BC73A8">
        <w:rPr>
          <w:rFonts w:ascii="Times New Roman" w:hAnsi="Times New Roman" w:cs="Times New Roman"/>
          <w:sz w:val="24"/>
          <w:szCs w:val="24"/>
        </w:rPr>
        <w:t>student loans</w:t>
      </w:r>
      <w:r w:rsidR="007772BC" w:rsidRPr="00E74148">
        <w:rPr>
          <w:rFonts w:ascii="Times New Roman" w:hAnsi="Times New Roman" w:cs="Times New Roman"/>
          <w:sz w:val="24"/>
          <w:szCs w:val="24"/>
        </w:rPr>
        <w:t xml:space="preserve"> more than doubled</w:t>
      </w:r>
      <w:r w:rsidR="005260DD">
        <w:rPr>
          <w:rFonts w:ascii="Times New Roman" w:hAnsi="Times New Roman" w:cs="Times New Roman"/>
          <w:sz w:val="24"/>
          <w:szCs w:val="24"/>
        </w:rPr>
        <w:t>,</w:t>
      </w:r>
      <w:r w:rsidR="007772BC" w:rsidRPr="00E74148">
        <w:rPr>
          <w:rFonts w:ascii="Times New Roman" w:hAnsi="Times New Roman" w:cs="Times New Roman"/>
          <w:sz w:val="24"/>
          <w:szCs w:val="24"/>
        </w:rPr>
        <w:t xml:space="preserve"> from</w:t>
      </w:r>
      <w:r w:rsidR="00DC5407">
        <w:rPr>
          <w:rFonts w:ascii="Times New Roman" w:hAnsi="Times New Roman" w:cs="Times New Roman"/>
          <w:sz w:val="24"/>
          <w:szCs w:val="24"/>
        </w:rPr>
        <w:t xml:space="preserve"> $5.3 to $11.1 billion</w:t>
      </w:r>
      <w:r w:rsidR="007772BC" w:rsidRPr="00E74148">
        <w:rPr>
          <w:rFonts w:ascii="Times New Roman" w:hAnsi="Times New Roman" w:cs="Times New Roman"/>
          <w:sz w:val="24"/>
          <w:szCs w:val="24"/>
        </w:rPr>
        <w:t>.</w:t>
      </w:r>
      <w:r w:rsidR="007772BC" w:rsidRPr="00E74148">
        <w:rPr>
          <w:rFonts w:ascii="Times New Roman" w:hAnsi="Times New Roman" w:cs="Times New Roman"/>
          <w:sz w:val="24"/>
          <w:szCs w:val="24"/>
          <w:vertAlign w:val="superscript"/>
        </w:rPr>
        <w:footnoteReference w:id="22"/>
      </w:r>
      <w:r w:rsidR="00176177">
        <w:rPr>
          <w:rFonts w:ascii="Times New Roman" w:hAnsi="Times New Roman" w:cs="Times New Roman"/>
          <w:sz w:val="24"/>
          <w:szCs w:val="24"/>
        </w:rPr>
        <w:t xml:space="preserve"> </w:t>
      </w:r>
      <w:r w:rsidR="00ED7873">
        <w:rPr>
          <w:rFonts w:ascii="Times New Roman" w:hAnsi="Times New Roman" w:cs="Times New Roman"/>
          <w:sz w:val="24"/>
          <w:szCs w:val="24"/>
        </w:rPr>
        <w:t>Because community college students</w:t>
      </w:r>
      <w:r w:rsidR="00472188">
        <w:rPr>
          <w:rFonts w:ascii="Times New Roman" w:hAnsi="Times New Roman" w:cs="Times New Roman"/>
          <w:sz w:val="24"/>
          <w:szCs w:val="24"/>
        </w:rPr>
        <w:t xml:space="preserve"> often </w:t>
      </w:r>
      <w:r w:rsidR="00EC474A">
        <w:rPr>
          <w:rFonts w:ascii="Times New Roman" w:hAnsi="Times New Roman" w:cs="Times New Roman"/>
          <w:sz w:val="24"/>
          <w:szCs w:val="24"/>
        </w:rPr>
        <w:t xml:space="preserve">hail </w:t>
      </w:r>
      <w:r w:rsidR="00A011F8" w:rsidRPr="00E74148">
        <w:rPr>
          <w:rFonts w:ascii="Times New Roman" w:hAnsi="Times New Roman" w:cs="Times New Roman"/>
          <w:sz w:val="24"/>
          <w:szCs w:val="24"/>
        </w:rPr>
        <w:t xml:space="preserve">from low-income </w:t>
      </w:r>
      <w:r w:rsidR="00505E17">
        <w:rPr>
          <w:rFonts w:ascii="Times New Roman" w:hAnsi="Times New Roman" w:cs="Times New Roman"/>
          <w:sz w:val="24"/>
          <w:szCs w:val="24"/>
        </w:rPr>
        <w:t xml:space="preserve">families, </w:t>
      </w:r>
      <w:r w:rsidR="00472188">
        <w:rPr>
          <w:rFonts w:ascii="Times New Roman" w:hAnsi="Times New Roman" w:cs="Times New Roman"/>
          <w:sz w:val="24"/>
          <w:szCs w:val="24"/>
        </w:rPr>
        <w:t xml:space="preserve">high default rates inflict </w:t>
      </w:r>
      <w:r w:rsidR="00A011F8" w:rsidRPr="00E74148">
        <w:rPr>
          <w:rFonts w:ascii="Times New Roman" w:hAnsi="Times New Roman" w:cs="Times New Roman"/>
          <w:sz w:val="24"/>
          <w:szCs w:val="24"/>
        </w:rPr>
        <w:t>many more obstacles</w:t>
      </w:r>
      <w:r w:rsidR="00472188">
        <w:rPr>
          <w:rFonts w:ascii="Times New Roman" w:hAnsi="Times New Roman" w:cs="Times New Roman"/>
          <w:sz w:val="24"/>
          <w:szCs w:val="24"/>
        </w:rPr>
        <w:t>—</w:t>
      </w:r>
      <w:r w:rsidR="00176177">
        <w:rPr>
          <w:rFonts w:ascii="Times New Roman" w:hAnsi="Times New Roman" w:cs="Times New Roman"/>
          <w:sz w:val="24"/>
          <w:szCs w:val="24"/>
        </w:rPr>
        <w:t>notably</w:t>
      </w:r>
      <w:r w:rsidR="00472188">
        <w:rPr>
          <w:rFonts w:ascii="Times New Roman" w:hAnsi="Times New Roman" w:cs="Times New Roman"/>
          <w:sz w:val="24"/>
          <w:szCs w:val="24"/>
        </w:rPr>
        <w:t>, poor credit score</w:t>
      </w:r>
      <w:r w:rsidR="00505E17">
        <w:rPr>
          <w:rFonts w:ascii="Times New Roman" w:hAnsi="Times New Roman" w:cs="Times New Roman"/>
          <w:sz w:val="24"/>
          <w:szCs w:val="24"/>
        </w:rPr>
        <w:t>s</w:t>
      </w:r>
      <w:r w:rsidR="00472188">
        <w:rPr>
          <w:rFonts w:ascii="Times New Roman" w:hAnsi="Times New Roman" w:cs="Times New Roman"/>
          <w:sz w:val="24"/>
          <w:szCs w:val="24"/>
        </w:rPr>
        <w:t>—</w:t>
      </w:r>
      <w:r w:rsidR="00A011F8" w:rsidRPr="00E74148">
        <w:rPr>
          <w:rFonts w:ascii="Times New Roman" w:hAnsi="Times New Roman" w:cs="Times New Roman"/>
          <w:sz w:val="24"/>
          <w:szCs w:val="24"/>
        </w:rPr>
        <w:t xml:space="preserve">to </w:t>
      </w:r>
      <w:r w:rsidR="00472188">
        <w:rPr>
          <w:rFonts w:ascii="Times New Roman" w:hAnsi="Times New Roman" w:cs="Times New Roman"/>
          <w:sz w:val="24"/>
          <w:szCs w:val="24"/>
        </w:rPr>
        <w:t>their upward economic</w:t>
      </w:r>
      <w:r w:rsidR="00A011F8" w:rsidRPr="00E74148">
        <w:rPr>
          <w:rFonts w:ascii="Times New Roman" w:hAnsi="Times New Roman" w:cs="Times New Roman"/>
          <w:sz w:val="24"/>
          <w:szCs w:val="24"/>
        </w:rPr>
        <w:t xml:space="preserve"> mobility</w:t>
      </w:r>
      <w:r w:rsidR="00472188">
        <w:rPr>
          <w:rFonts w:ascii="Times New Roman" w:hAnsi="Times New Roman" w:cs="Times New Roman"/>
          <w:sz w:val="24"/>
          <w:szCs w:val="24"/>
        </w:rPr>
        <w:t>.</w:t>
      </w:r>
    </w:p>
    <w:p w14:paraId="7FC8D257" w14:textId="77777777" w:rsidR="00A011F8" w:rsidRPr="00E74148" w:rsidRDefault="00A011F8" w:rsidP="00E74148">
      <w:pPr>
        <w:spacing w:line="240" w:lineRule="auto"/>
        <w:rPr>
          <w:rFonts w:ascii="Times New Roman" w:hAnsi="Times New Roman" w:cs="Times New Roman"/>
          <w:sz w:val="24"/>
          <w:szCs w:val="24"/>
        </w:rPr>
      </w:pPr>
    </w:p>
    <w:p w14:paraId="563A50E2" w14:textId="77777777" w:rsidR="00410343" w:rsidRPr="00176177" w:rsidRDefault="00016A9A" w:rsidP="00E74148">
      <w:pPr>
        <w:spacing w:line="240" w:lineRule="auto"/>
        <w:rPr>
          <w:rFonts w:ascii="Times New Roman" w:hAnsi="Times New Roman" w:cs="Times New Roman"/>
          <w:b/>
          <w:sz w:val="24"/>
          <w:szCs w:val="24"/>
        </w:rPr>
      </w:pPr>
      <w:r w:rsidRPr="00176177">
        <w:rPr>
          <w:rFonts w:ascii="Times New Roman" w:hAnsi="Times New Roman" w:cs="Times New Roman"/>
          <w:b/>
          <w:sz w:val="24"/>
          <w:szCs w:val="24"/>
        </w:rPr>
        <w:t xml:space="preserve">IV. </w:t>
      </w:r>
      <w:r w:rsidR="00410343" w:rsidRPr="00176177">
        <w:rPr>
          <w:rFonts w:ascii="Times New Roman" w:hAnsi="Times New Roman" w:cs="Times New Roman"/>
          <w:b/>
          <w:sz w:val="24"/>
          <w:szCs w:val="24"/>
        </w:rPr>
        <w:t>Obama Administration Proposals</w:t>
      </w:r>
    </w:p>
    <w:p w14:paraId="3E3642F4" w14:textId="77777777" w:rsidR="006907F8" w:rsidRDefault="00A86FA6" w:rsidP="006907F8">
      <w:pPr>
        <w:spacing w:line="240" w:lineRule="auto"/>
        <w:rPr>
          <w:rFonts w:ascii="Times New Roman" w:hAnsi="Times New Roman" w:cs="Times New Roman"/>
          <w:sz w:val="24"/>
          <w:szCs w:val="24"/>
        </w:rPr>
      </w:pPr>
      <w:r>
        <w:rPr>
          <w:rFonts w:ascii="Times New Roman" w:hAnsi="Times New Roman" w:cs="Times New Roman"/>
          <w:sz w:val="24"/>
          <w:szCs w:val="24"/>
        </w:rPr>
        <w:t>F</w:t>
      </w:r>
      <w:r w:rsidR="006614D0">
        <w:rPr>
          <w:rFonts w:ascii="Times New Roman" w:hAnsi="Times New Roman" w:cs="Times New Roman"/>
          <w:sz w:val="24"/>
          <w:szCs w:val="24"/>
        </w:rPr>
        <w:t>ollowing</w:t>
      </w:r>
      <w:r w:rsidR="00410343" w:rsidRPr="00E74148">
        <w:rPr>
          <w:rFonts w:ascii="Times New Roman" w:hAnsi="Times New Roman" w:cs="Times New Roman"/>
          <w:sz w:val="24"/>
          <w:szCs w:val="24"/>
        </w:rPr>
        <w:t xml:space="preserve"> his predecessors’ bipartisan example</w:t>
      </w:r>
      <w:r w:rsidR="006614D0">
        <w:rPr>
          <w:rFonts w:ascii="Times New Roman" w:hAnsi="Times New Roman" w:cs="Times New Roman"/>
          <w:sz w:val="24"/>
          <w:szCs w:val="24"/>
        </w:rPr>
        <w:t>,</w:t>
      </w:r>
      <w:r w:rsidR="00410343" w:rsidRPr="00E74148">
        <w:rPr>
          <w:rFonts w:ascii="Times New Roman" w:hAnsi="Times New Roman" w:cs="Times New Roman"/>
          <w:sz w:val="24"/>
          <w:szCs w:val="24"/>
        </w:rPr>
        <w:t xml:space="preserve"> </w:t>
      </w:r>
      <w:r w:rsidRPr="00E74148">
        <w:rPr>
          <w:rFonts w:ascii="Times New Roman" w:hAnsi="Times New Roman" w:cs="Times New Roman"/>
          <w:sz w:val="24"/>
          <w:szCs w:val="24"/>
        </w:rPr>
        <w:t xml:space="preserve">President </w:t>
      </w:r>
      <w:r>
        <w:rPr>
          <w:rFonts w:ascii="Times New Roman" w:hAnsi="Times New Roman" w:cs="Times New Roman"/>
          <w:sz w:val="24"/>
          <w:szCs w:val="24"/>
        </w:rPr>
        <w:t>Obama has prioritized new investment</w:t>
      </w:r>
      <w:r w:rsidR="00410343" w:rsidRPr="00E74148">
        <w:rPr>
          <w:rFonts w:ascii="Times New Roman" w:hAnsi="Times New Roman" w:cs="Times New Roman"/>
          <w:sz w:val="24"/>
          <w:szCs w:val="24"/>
        </w:rPr>
        <w:t xml:space="preserve"> in community colleges. </w:t>
      </w:r>
      <w:r w:rsidR="006614D0">
        <w:rPr>
          <w:rFonts w:ascii="Times New Roman" w:hAnsi="Times New Roman" w:cs="Times New Roman"/>
          <w:sz w:val="24"/>
          <w:szCs w:val="24"/>
        </w:rPr>
        <w:t>T</w:t>
      </w:r>
      <w:r w:rsidR="00410343" w:rsidRPr="00E74148">
        <w:rPr>
          <w:rFonts w:ascii="Times New Roman" w:hAnsi="Times New Roman" w:cs="Times New Roman"/>
          <w:sz w:val="24"/>
          <w:szCs w:val="24"/>
        </w:rPr>
        <w:t>he 2009 American Recov</w:t>
      </w:r>
      <w:r w:rsidR="006614D0">
        <w:rPr>
          <w:rFonts w:ascii="Times New Roman" w:hAnsi="Times New Roman" w:cs="Times New Roman"/>
          <w:sz w:val="24"/>
          <w:szCs w:val="24"/>
        </w:rPr>
        <w:t xml:space="preserve">ery and Reinvestment Act (the “stimulus bill”) </w:t>
      </w:r>
      <w:r w:rsidR="005135C7">
        <w:rPr>
          <w:rFonts w:ascii="Times New Roman" w:hAnsi="Times New Roman" w:cs="Times New Roman"/>
          <w:sz w:val="24"/>
          <w:szCs w:val="24"/>
        </w:rPr>
        <w:t xml:space="preserve">created </w:t>
      </w:r>
      <w:r>
        <w:rPr>
          <w:rFonts w:ascii="Times New Roman" w:hAnsi="Times New Roman" w:cs="Times New Roman"/>
          <w:sz w:val="24"/>
          <w:szCs w:val="24"/>
        </w:rPr>
        <w:t xml:space="preserve">the </w:t>
      </w:r>
      <w:r w:rsidR="00410343" w:rsidRPr="00E74148">
        <w:rPr>
          <w:rFonts w:ascii="Times New Roman" w:hAnsi="Times New Roman" w:cs="Times New Roman"/>
          <w:sz w:val="24"/>
          <w:szCs w:val="24"/>
        </w:rPr>
        <w:t>Trade Adjustment Assistance Community Colleg</w:t>
      </w:r>
      <w:r w:rsidR="00943CD6">
        <w:rPr>
          <w:rFonts w:ascii="Times New Roman" w:hAnsi="Times New Roman" w:cs="Times New Roman"/>
          <w:sz w:val="24"/>
          <w:szCs w:val="24"/>
        </w:rPr>
        <w:t>e and Career Training</w:t>
      </w:r>
      <w:r w:rsidR="00810CB0">
        <w:rPr>
          <w:rFonts w:ascii="Times New Roman" w:hAnsi="Times New Roman" w:cs="Times New Roman"/>
          <w:sz w:val="24"/>
          <w:szCs w:val="24"/>
        </w:rPr>
        <w:t xml:space="preserve"> grant program. </w:t>
      </w:r>
    </w:p>
    <w:p w14:paraId="6A497BDB" w14:textId="42B36FA5" w:rsidR="006907F8" w:rsidRDefault="00810CB0" w:rsidP="006907F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TAACCCT </w:t>
      </w:r>
      <w:r w:rsidR="00F97335">
        <w:rPr>
          <w:rFonts w:ascii="Times New Roman" w:hAnsi="Times New Roman" w:cs="Times New Roman"/>
          <w:sz w:val="24"/>
          <w:szCs w:val="24"/>
        </w:rPr>
        <w:t xml:space="preserve">dispersed </w:t>
      </w:r>
      <w:r>
        <w:rPr>
          <w:rFonts w:ascii="Times New Roman" w:hAnsi="Times New Roman" w:cs="Times New Roman"/>
          <w:sz w:val="24"/>
          <w:szCs w:val="24"/>
        </w:rPr>
        <w:t>$2 billion over four years</w:t>
      </w:r>
      <w:r w:rsidR="005A5552">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to help </w:t>
      </w:r>
      <w:r w:rsidR="00410343" w:rsidRPr="00E74148">
        <w:rPr>
          <w:rFonts w:ascii="Times New Roman" w:hAnsi="Times New Roman" w:cs="Times New Roman"/>
          <w:sz w:val="24"/>
          <w:szCs w:val="24"/>
        </w:rPr>
        <w:t xml:space="preserve">community colleges </w:t>
      </w:r>
      <w:r w:rsidR="00A551B0">
        <w:rPr>
          <w:rFonts w:ascii="Times New Roman" w:hAnsi="Times New Roman" w:cs="Times New Roman"/>
          <w:sz w:val="24"/>
          <w:szCs w:val="24"/>
        </w:rPr>
        <w:t>create training programs for high</w:t>
      </w:r>
      <w:r w:rsidR="00410343" w:rsidRPr="00E74148">
        <w:rPr>
          <w:rFonts w:ascii="Times New Roman" w:hAnsi="Times New Roman" w:cs="Times New Roman"/>
          <w:sz w:val="24"/>
          <w:szCs w:val="24"/>
        </w:rPr>
        <w:t>-demand careers</w:t>
      </w:r>
      <w:r w:rsidR="00943CD6">
        <w:rPr>
          <w:rFonts w:ascii="Times New Roman" w:hAnsi="Times New Roman" w:cs="Times New Roman"/>
          <w:sz w:val="24"/>
          <w:szCs w:val="24"/>
        </w:rPr>
        <w:t>, provide internships</w:t>
      </w:r>
      <w:r w:rsidR="00852DC8">
        <w:rPr>
          <w:rFonts w:ascii="Times New Roman" w:hAnsi="Times New Roman" w:cs="Times New Roman"/>
          <w:sz w:val="24"/>
          <w:szCs w:val="24"/>
        </w:rPr>
        <w:t>,</w:t>
      </w:r>
      <w:r w:rsidR="00943CD6">
        <w:rPr>
          <w:rFonts w:ascii="Times New Roman" w:hAnsi="Times New Roman" w:cs="Times New Roman"/>
          <w:sz w:val="24"/>
          <w:szCs w:val="24"/>
        </w:rPr>
        <w:t xml:space="preserve"> and </w:t>
      </w:r>
      <w:r w:rsidR="00852DC8">
        <w:rPr>
          <w:rFonts w:ascii="Times New Roman" w:hAnsi="Times New Roman" w:cs="Times New Roman"/>
          <w:sz w:val="24"/>
          <w:szCs w:val="24"/>
        </w:rPr>
        <w:t xml:space="preserve">offer </w:t>
      </w:r>
      <w:r w:rsidR="00943CD6">
        <w:rPr>
          <w:rFonts w:ascii="Times New Roman" w:hAnsi="Times New Roman" w:cs="Times New Roman"/>
          <w:sz w:val="24"/>
          <w:szCs w:val="24"/>
        </w:rPr>
        <w:t>accelerated learning options</w:t>
      </w:r>
      <w:r w:rsidR="00410343" w:rsidRPr="00E74148">
        <w:rPr>
          <w:rFonts w:ascii="Times New Roman" w:hAnsi="Times New Roman" w:cs="Times New Roman"/>
          <w:sz w:val="24"/>
          <w:szCs w:val="24"/>
        </w:rPr>
        <w:t>.</w:t>
      </w:r>
      <w:r w:rsidR="00410343" w:rsidRPr="00E74148">
        <w:rPr>
          <w:rFonts w:ascii="Times New Roman" w:hAnsi="Times New Roman" w:cs="Times New Roman"/>
          <w:sz w:val="24"/>
          <w:szCs w:val="24"/>
          <w:vertAlign w:val="superscript"/>
        </w:rPr>
        <w:footnoteReference w:id="24"/>
      </w:r>
      <w:r w:rsidR="006907F8">
        <w:rPr>
          <w:rFonts w:ascii="Times New Roman" w:hAnsi="Times New Roman" w:cs="Times New Roman"/>
          <w:sz w:val="24"/>
          <w:szCs w:val="24"/>
        </w:rPr>
        <w:t xml:space="preserve"> </w:t>
      </w:r>
      <w:r w:rsidR="00852DC8">
        <w:rPr>
          <w:rFonts w:ascii="Times New Roman" w:hAnsi="Times New Roman" w:cs="Times New Roman"/>
          <w:sz w:val="24"/>
          <w:szCs w:val="24"/>
        </w:rPr>
        <w:t>I</w:t>
      </w:r>
      <w:r w:rsidR="00410343" w:rsidRPr="00E74148">
        <w:rPr>
          <w:rFonts w:ascii="Times New Roman" w:hAnsi="Times New Roman" w:cs="Times New Roman"/>
          <w:sz w:val="24"/>
          <w:szCs w:val="24"/>
        </w:rPr>
        <w:t>n February 2013</w:t>
      </w:r>
      <w:r w:rsidR="000C6B32">
        <w:rPr>
          <w:rFonts w:ascii="Times New Roman" w:hAnsi="Times New Roman" w:cs="Times New Roman"/>
          <w:sz w:val="24"/>
          <w:szCs w:val="24"/>
        </w:rPr>
        <w:t>,</w:t>
      </w:r>
      <w:r w:rsidR="00410343" w:rsidRPr="00E74148">
        <w:rPr>
          <w:rFonts w:ascii="Times New Roman" w:hAnsi="Times New Roman" w:cs="Times New Roman"/>
          <w:sz w:val="24"/>
          <w:szCs w:val="24"/>
        </w:rPr>
        <w:t xml:space="preserve"> </w:t>
      </w:r>
      <w:r w:rsidR="000C6B32">
        <w:rPr>
          <w:rFonts w:ascii="Times New Roman" w:hAnsi="Times New Roman" w:cs="Times New Roman"/>
          <w:sz w:val="24"/>
          <w:szCs w:val="24"/>
        </w:rPr>
        <w:t xml:space="preserve">President </w:t>
      </w:r>
      <w:r w:rsidR="00410343" w:rsidRPr="00E74148">
        <w:rPr>
          <w:rFonts w:ascii="Times New Roman" w:hAnsi="Times New Roman" w:cs="Times New Roman"/>
          <w:sz w:val="24"/>
          <w:szCs w:val="24"/>
        </w:rPr>
        <w:t xml:space="preserve">Obama </w:t>
      </w:r>
      <w:r w:rsidR="00650E6E">
        <w:rPr>
          <w:rFonts w:ascii="Times New Roman" w:hAnsi="Times New Roman" w:cs="Times New Roman"/>
          <w:sz w:val="24"/>
          <w:szCs w:val="24"/>
        </w:rPr>
        <w:t xml:space="preserve">unsuccessfully </w:t>
      </w:r>
      <w:r w:rsidR="000C6B32">
        <w:rPr>
          <w:rFonts w:ascii="Times New Roman" w:hAnsi="Times New Roman" w:cs="Times New Roman"/>
          <w:sz w:val="24"/>
          <w:szCs w:val="24"/>
        </w:rPr>
        <w:t xml:space="preserve">proposed </w:t>
      </w:r>
      <w:r w:rsidR="00410343" w:rsidRPr="00E74148">
        <w:rPr>
          <w:rFonts w:ascii="Times New Roman" w:hAnsi="Times New Roman" w:cs="Times New Roman"/>
          <w:sz w:val="24"/>
          <w:szCs w:val="24"/>
        </w:rPr>
        <w:t>an $8 billion</w:t>
      </w:r>
      <w:r w:rsidR="000C6B32">
        <w:rPr>
          <w:rFonts w:ascii="Times New Roman" w:hAnsi="Times New Roman" w:cs="Times New Roman"/>
          <w:sz w:val="24"/>
          <w:szCs w:val="24"/>
        </w:rPr>
        <w:t xml:space="preserve"> </w:t>
      </w:r>
      <w:r w:rsidR="00410343" w:rsidRPr="00E74148">
        <w:rPr>
          <w:rFonts w:ascii="Times New Roman" w:hAnsi="Times New Roman" w:cs="Times New Roman"/>
          <w:sz w:val="24"/>
          <w:szCs w:val="24"/>
        </w:rPr>
        <w:t>C</w:t>
      </w:r>
      <w:r w:rsidR="00BB5843">
        <w:rPr>
          <w:rFonts w:ascii="Times New Roman" w:hAnsi="Times New Roman" w:cs="Times New Roman"/>
          <w:sz w:val="24"/>
          <w:szCs w:val="24"/>
        </w:rPr>
        <w:t>ommunity College to Career Fund</w:t>
      </w:r>
      <w:r w:rsidR="00410343" w:rsidRPr="00E74148">
        <w:rPr>
          <w:rFonts w:ascii="Times New Roman" w:hAnsi="Times New Roman" w:cs="Times New Roman"/>
          <w:sz w:val="24"/>
          <w:szCs w:val="24"/>
        </w:rPr>
        <w:t xml:space="preserve"> </w:t>
      </w:r>
      <w:r w:rsidR="000C6B32">
        <w:rPr>
          <w:rFonts w:ascii="Times New Roman" w:hAnsi="Times New Roman" w:cs="Times New Roman"/>
          <w:sz w:val="24"/>
          <w:szCs w:val="24"/>
        </w:rPr>
        <w:t>to train</w:t>
      </w:r>
      <w:r w:rsidR="00410343" w:rsidRPr="00E74148">
        <w:rPr>
          <w:rFonts w:ascii="Times New Roman" w:hAnsi="Times New Roman" w:cs="Times New Roman"/>
          <w:sz w:val="24"/>
          <w:szCs w:val="24"/>
        </w:rPr>
        <w:t xml:space="preserve"> students </w:t>
      </w:r>
      <w:r w:rsidR="000C6B32">
        <w:rPr>
          <w:rFonts w:ascii="Times New Roman" w:hAnsi="Times New Roman" w:cs="Times New Roman"/>
          <w:sz w:val="24"/>
          <w:szCs w:val="24"/>
        </w:rPr>
        <w:t>in “high-wage, high-skill”</w:t>
      </w:r>
      <w:r w:rsidR="00410343" w:rsidRPr="00E74148">
        <w:rPr>
          <w:rFonts w:ascii="Times New Roman" w:hAnsi="Times New Roman" w:cs="Times New Roman"/>
          <w:sz w:val="24"/>
          <w:szCs w:val="24"/>
        </w:rPr>
        <w:t xml:space="preserve"> fields.</w:t>
      </w:r>
      <w:r w:rsidR="00650E6E" w:rsidRPr="00E74148">
        <w:rPr>
          <w:rFonts w:ascii="Times New Roman" w:hAnsi="Times New Roman" w:cs="Times New Roman"/>
          <w:sz w:val="24"/>
          <w:szCs w:val="24"/>
          <w:vertAlign w:val="superscript"/>
        </w:rPr>
        <w:footnoteReference w:id="25"/>
      </w:r>
      <w:r w:rsidR="00410343" w:rsidRPr="00E74148">
        <w:rPr>
          <w:rFonts w:ascii="Times New Roman" w:hAnsi="Times New Roman" w:cs="Times New Roman"/>
          <w:sz w:val="24"/>
          <w:szCs w:val="24"/>
        </w:rPr>
        <w:t xml:space="preserve"> </w:t>
      </w:r>
      <w:r w:rsidR="00BB5843">
        <w:rPr>
          <w:rFonts w:ascii="Times New Roman" w:hAnsi="Times New Roman" w:cs="Times New Roman"/>
          <w:sz w:val="24"/>
          <w:szCs w:val="24"/>
        </w:rPr>
        <w:t xml:space="preserve">Under the initiative, </w:t>
      </w:r>
      <w:r w:rsidR="000C6B32">
        <w:rPr>
          <w:rFonts w:ascii="Times New Roman" w:hAnsi="Times New Roman" w:cs="Times New Roman"/>
          <w:sz w:val="24"/>
          <w:szCs w:val="24"/>
        </w:rPr>
        <w:t xml:space="preserve">states would have been provided </w:t>
      </w:r>
      <w:r w:rsidR="00410343" w:rsidRPr="00E74148">
        <w:rPr>
          <w:rFonts w:ascii="Times New Roman" w:hAnsi="Times New Roman" w:cs="Times New Roman"/>
          <w:sz w:val="24"/>
          <w:szCs w:val="24"/>
        </w:rPr>
        <w:t>funding</w:t>
      </w:r>
      <w:r w:rsidR="000C6B32">
        <w:rPr>
          <w:rFonts w:ascii="Times New Roman" w:hAnsi="Times New Roman" w:cs="Times New Roman"/>
          <w:sz w:val="24"/>
          <w:szCs w:val="24"/>
        </w:rPr>
        <w:t xml:space="preserve"> to </w:t>
      </w:r>
      <w:r w:rsidR="000C6B32" w:rsidRPr="00E74148">
        <w:rPr>
          <w:rFonts w:ascii="Times New Roman" w:hAnsi="Times New Roman" w:cs="Times New Roman"/>
          <w:sz w:val="24"/>
          <w:szCs w:val="24"/>
        </w:rPr>
        <w:t>reward community college</w:t>
      </w:r>
      <w:r w:rsidR="000C6B32">
        <w:rPr>
          <w:rFonts w:ascii="Times New Roman" w:hAnsi="Times New Roman" w:cs="Times New Roman"/>
          <w:sz w:val="24"/>
          <w:szCs w:val="24"/>
        </w:rPr>
        <w:t>s</w:t>
      </w:r>
      <w:r w:rsidR="000C6B32" w:rsidRPr="00E74148">
        <w:rPr>
          <w:rFonts w:ascii="Times New Roman" w:hAnsi="Times New Roman" w:cs="Times New Roman"/>
          <w:sz w:val="24"/>
          <w:szCs w:val="24"/>
        </w:rPr>
        <w:t xml:space="preserve"> </w:t>
      </w:r>
      <w:r w:rsidR="000C6B32">
        <w:rPr>
          <w:rFonts w:ascii="Times New Roman" w:hAnsi="Times New Roman" w:cs="Times New Roman"/>
          <w:sz w:val="24"/>
          <w:szCs w:val="24"/>
        </w:rPr>
        <w:t>that achieved</w:t>
      </w:r>
      <w:r w:rsidR="000C6B32" w:rsidRPr="00E74148">
        <w:rPr>
          <w:rFonts w:ascii="Times New Roman" w:hAnsi="Times New Roman" w:cs="Times New Roman"/>
          <w:sz w:val="24"/>
          <w:szCs w:val="24"/>
        </w:rPr>
        <w:t xml:space="preserve"> excellent </w:t>
      </w:r>
      <w:r w:rsidR="000C6B32">
        <w:rPr>
          <w:rFonts w:ascii="Times New Roman" w:hAnsi="Times New Roman" w:cs="Times New Roman"/>
          <w:sz w:val="24"/>
          <w:szCs w:val="24"/>
        </w:rPr>
        <w:t xml:space="preserve">graduation </w:t>
      </w:r>
      <w:r w:rsidR="000C6B32" w:rsidRPr="00E74148">
        <w:rPr>
          <w:rFonts w:ascii="Times New Roman" w:hAnsi="Times New Roman" w:cs="Times New Roman"/>
          <w:sz w:val="24"/>
          <w:szCs w:val="24"/>
        </w:rPr>
        <w:t>rates</w:t>
      </w:r>
      <w:r w:rsidR="00650E6E">
        <w:rPr>
          <w:rFonts w:ascii="Times New Roman" w:hAnsi="Times New Roman" w:cs="Times New Roman"/>
          <w:sz w:val="24"/>
          <w:szCs w:val="24"/>
        </w:rPr>
        <w:t>.</w:t>
      </w:r>
      <w:r w:rsidR="00410343" w:rsidRPr="00E74148">
        <w:rPr>
          <w:rFonts w:ascii="Times New Roman" w:hAnsi="Times New Roman" w:cs="Times New Roman"/>
          <w:sz w:val="24"/>
          <w:szCs w:val="24"/>
          <w:vertAlign w:val="superscript"/>
        </w:rPr>
        <w:footnoteReference w:id="26"/>
      </w:r>
    </w:p>
    <w:p w14:paraId="61E613B7" w14:textId="77777777" w:rsidR="006907F8" w:rsidRDefault="006907F8" w:rsidP="008B2C4B">
      <w:pPr>
        <w:spacing w:line="240" w:lineRule="auto"/>
        <w:rPr>
          <w:rFonts w:ascii="Times New Roman" w:hAnsi="Times New Roman" w:cs="Times New Roman"/>
          <w:sz w:val="24"/>
          <w:szCs w:val="24"/>
        </w:rPr>
      </w:pPr>
    </w:p>
    <w:p w14:paraId="78CEE115" w14:textId="72B9EDD6" w:rsidR="006907F8" w:rsidRPr="006907F8" w:rsidRDefault="006907F8" w:rsidP="006907F8">
      <w:pPr>
        <w:spacing w:line="240" w:lineRule="auto"/>
        <w:rPr>
          <w:rFonts w:ascii="Times New Roman" w:hAnsi="Times New Roman" w:cs="Times New Roman"/>
          <w:i/>
          <w:sz w:val="24"/>
          <w:szCs w:val="24"/>
        </w:rPr>
      </w:pPr>
      <w:r w:rsidRPr="006907F8">
        <w:rPr>
          <w:rFonts w:ascii="Times New Roman" w:hAnsi="Times New Roman" w:cs="Times New Roman"/>
          <w:i/>
          <w:sz w:val="24"/>
          <w:szCs w:val="24"/>
        </w:rPr>
        <w:t>America’s College Promise</w:t>
      </w:r>
    </w:p>
    <w:p w14:paraId="5F370BAA" w14:textId="2021729A" w:rsidR="00410343" w:rsidRPr="00E74148" w:rsidRDefault="00650E6E" w:rsidP="008B2C4B">
      <w:pPr>
        <w:spacing w:line="240" w:lineRule="auto"/>
        <w:rPr>
          <w:rFonts w:ascii="Times New Roman" w:hAnsi="Times New Roman" w:cs="Times New Roman"/>
          <w:sz w:val="24"/>
          <w:szCs w:val="24"/>
        </w:rPr>
      </w:pPr>
      <w:r>
        <w:rPr>
          <w:rFonts w:ascii="Times New Roman" w:hAnsi="Times New Roman" w:cs="Times New Roman"/>
          <w:sz w:val="24"/>
          <w:szCs w:val="24"/>
        </w:rPr>
        <w:t>President Obama’</w:t>
      </w:r>
      <w:r w:rsidR="00410343" w:rsidRPr="00E74148">
        <w:rPr>
          <w:rFonts w:ascii="Times New Roman" w:hAnsi="Times New Roman" w:cs="Times New Roman"/>
          <w:sz w:val="24"/>
          <w:szCs w:val="24"/>
        </w:rPr>
        <w:t xml:space="preserve">s </w:t>
      </w:r>
      <w:r w:rsidR="008252C9">
        <w:rPr>
          <w:rFonts w:ascii="Times New Roman" w:hAnsi="Times New Roman" w:cs="Times New Roman"/>
          <w:sz w:val="24"/>
          <w:szCs w:val="24"/>
        </w:rPr>
        <w:t xml:space="preserve">2015 </w:t>
      </w:r>
      <w:r w:rsidR="00410343" w:rsidRPr="00E74148">
        <w:rPr>
          <w:rFonts w:ascii="Times New Roman" w:hAnsi="Times New Roman" w:cs="Times New Roman"/>
          <w:sz w:val="24"/>
          <w:szCs w:val="24"/>
        </w:rPr>
        <w:t>proposal to</w:t>
      </w:r>
      <w:r>
        <w:rPr>
          <w:rFonts w:ascii="Times New Roman" w:hAnsi="Times New Roman" w:cs="Times New Roman"/>
          <w:sz w:val="24"/>
          <w:szCs w:val="24"/>
        </w:rPr>
        <w:t xml:space="preserve"> invest in community colleges, America’s College Promise, </w:t>
      </w:r>
      <w:r w:rsidR="00410343" w:rsidRPr="00E74148">
        <w:rPr>
          <w:rFonts w:ascii="Times New Roman" w:hAnsi="Times New Roman" w:cs="Times New Roman"/>
          <w:sz w:val="24"/>
          <w:szCs w:val="24"/>
        </w:rPr>
        <w:t xml:space="preserve">is </w:t>
      </w:r>
      <w:r>
        <w:rPr>
          <w:rFonts w:ascii="Times New Roman" w:hAnsi="Times New Roman" w:cs="Times New Roman"/>
          <w:sz w:val="24"/>
          <w:szCs w:val="24"/>
        </w:rPr>
        <w:t xml:space="preserve">also his most ambitious. The initiative would transform </w:t>
      </w:r>
      <w:r w:rsidR="00410343" w:rsidRPr="00E74148">
        <w:rPr>
          <w:rFonts w:ascii="Times New Roman" w:hAnsi="Times New Roman" w:cs="Times New Roman"/>
          <w:sz w:val="24"/>
          <w:szCs w:val="24"/>
        </w:rPr>
        <w:t>the government’s mission</w:t>
      </w:r>
      <w:r w:rsidR="00EF6564">
        <w:rPr>
          <w:rFonts w:ascii="Times New Roman" w:hAnsi="Times New Roman" w:cs="Times New Roman"/>
          <w:sz w:val="24"/>
          <w:szCs w:val="24"/>
        </w:rPr>
        <w:t>—</w:t>
      </w:r>
      <w:r w:rsidR="00410343" w:rsidRPr="00E74148">
        <w:rPr>
          <w:rFonts w:ascii="Times New Roman" w:hAnsi="Times New Roman" w:cs="Times New Roman"/>
          <w:sz w:val="24"/>
          <w:szCs w:val="24"/>
        </w:rPr>
        <w:t>from</w:t>
      </w:r>
      <w:r w:rsidR="00EF6564">
        <w:rPr>
          <w:rFonts w:ascii="Times New Roman" w:hAnsi="Times New Roman" w:cs="Times New Roman"/>
          <w:sz w:val="24"/>
          <w:szCs w:val="24"/>
        </w:rPr>
        <w:t xml:space="preserve"> one centered on</w:t>
      </w:r>
      <w:r w:rsidR="00410343" w:rsidRPr="00E74148">
        <w:rPr>
          <w:rFonts w:ascii="Times New Roman" w:hAnsi="Times New Roman" w:cs="Times New Roman"/>
          <w:sz w:val="24"/>
          <w:szCs w:val="24"/>
        </w:rPr>
        <w:t xml:space="preserve"> improving </w:t>
      </w:r>
      <w:r w:rsidR="00EF6564">
        <w:rPr>
          <w:rFonts w:ascii="Times New Roman" w:hAnsi="Times New Roman" w:cs="Times New Roman"/>
          <w:sz w:val="24"/>
          <w:szCs w:val="24"/>
        </w:rPr>
        <w:t xml:space="preserve">career and academic </w:t>
      </w:r>
      <w:r w:rsidR="00410343" w:rsidRPr="00E74148">
        <w:rPr>
          <w:rFonts w:ascii="Times New Roman" w:hAnsi="Times New Roman" w:cs="Times New Roman"/>
          <w:sz w:val="24"/>
          <w:szCs w:val="24"/>
        </w:rPr>
        <w:t>opportunities for current students to</w:t>
      </w:r>
      <w:r>
        <w:rPr>
          <w:rFonts w:ascii="Times New Roman" w:hAnsi="Times New Roman" w:cs="Times New Roman"/>
          <w:sz w:val="24"/>
          <w:szCs w:val="24"/>
        </w:rPr>
        <w:t xml:space="preserve"> </w:t>
      </w:r>
      <w:r w:rsidR="00410343" w:rsidRPr="00E74148">
        <w:rPr>
          <w:rFonts w:ascii="Times New Roman" w:hAnsi="Times New Roman" w:cs="Times New Roman"/>
          <w:sz w:val="24"/>
          <w:szCs w:val="24"/>
        </w:rPr>
        <w:t>making community college</w:t>
      </w:r>
      <w:r>
        <w:rPr>
          <w:rFonts w:ascii="Times New Roman" w:hAnsi="Times New Roman" w:cs="Times New Roman"/>
          <w:sz w:val="24"/>
          <w:szCs w:val="24"/>
        </w:rPr>
        <w:t>s “</w:t>
      </w:r>
      <w:r w:rsidRPr="00E74148">
        <w:rPr>
          <w:rFonts w:ascii="Times New Roman" w:hAnsi="Times New Roman" w:cs="Times New Roman"/>
          <w:sz w:val="24"/>
          <w:szCs w:val="24"/>
        </w:rPr>
        <w:t>as fre</w:t>
      </w:r>
      <w:r w:rsidR="000731F4">
        <w:rPr>
          <w:rFonts w:ascii="Times New Roman" w:hAnsi="Times New Roman" w:cs="Times New Roman"/>
          <w:sz w:val="24"/>
          <w:szCs w:val="24"/>
        </w:rPr>
        <w:t>e and universal as high school” (and</w:t>
      </w:r>
      <w:r>
        <w:rPr>
          <w:rFonts w:ascii="Times New Roman" w:hAnsi="Times New Roman" w:cs="Times New Roman"/>
          <w:sz w:val="24"/>
          <w:szCs w:val="24"/>
        </w:rPr>
        <w:t xml:space="preserve"> thus, presumably more attractive to prospective students</w:t>
      </w:r>
      <w:r w:rsidR="000731F4">
        <w:rPr>
          <w:rFonts w:ascii="Times New Roman" w:hAnsi="Times New Roman" w:cs="Times New Roman"/>
          <w:sz w:val="24"/>
          <w:szCs w:val="24"/>
        </w:rPr>
        <w:t>)</w:t>
      </w:r>
      <w:r>
        <w:rPr>
          <w:rFonts w:ascii="Times New Roman" w:hAnsi="Times New Roman" w:cs="Times New Roman"/>
          <w:sz w:val="24"/>
          <w:szCs w:val="24"/>
        </w:rPr>
        <w:t>.</w:t>
      </w:r>
      <w:r w:rsidR="00410343" w:rsidRPr="00E74148">
        <w:rPr>
          <w:rFonts w:ascii="Times New Roman" w:hAnsi="Times New Roman" w:cs="Times New Roman"/>
          <w:sz w:val="24"/>
          <w:szCs w:val="24"/>
          <w:vertAlign w:val="superscript"/>
        </w:rPr>
        <w:footnoteReference w:id="27"/>
      </w:r>
    </w:p>
    <w:p w14:paraId="448A344E" w14:textId="7185282F" w:rsidR="00410343" w:rsidRPr="00E74148" w:rsidRDefault="000731F4" w:rsidP="000731F4">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America’s College Promise </w:t>
      </w:r>
      <w:r w:rsidR="00807628">
        <w:rPr>
          <w:rFonts w:ascii="Times New Roman" w:hAnsi="Times New Roman" w:cs="Times New Roman"/>
          <w:sz w:val="24"/>
          <w:szCs w:val="24"/>
        </w:rPr>
        <w:t>would make</w:t>
      </w:r>
      <w:r w:rsidR="00410343" w:rsidRPr="00807628">
        <w:rPr>
          <w:rFonts w:ascii="Times New Roman" w:hAnsi="Times New Roman" w:cs="Times New Roman"/>
          <w:sz w:val="24"/>
          <w:szCs w:val="24"/>
        </w:rPr>
        <w:t xml:space="preserve"> t</w:t>
      </w:r>
      <w:r w:rsidR="004B407E">
        <w:rPr>
          <w:rFonts w:ascii="Times New Roman" w:hAnsi="Times New Roman" w:cs="Times New Roman"/>
          <w:sz w:val="24"/>
          <w:szCs w:val="24"/>
        </w:rPr>
        <w:t xml:space="preserve">uition free for the </w:t>
      </w:r>
      <w:r w:rsidR="00410343" w:rsidRPr="00807628">
        <w:rPr>
          <w:rFonts w:ascii="Times New Roman" w:hAnsi="Times New Roman" w:cs="Times New Roman"/>
          <w:sz w:val="24"/>
          <w:szCs w:val="24"/>
        </w:rPr>
        <w:t xml:space="preserve">first two years </w:t>
      </w:r>
      <w:r w:rsidR="00807628">
        <w:rPr>
          <w:rFonts w:ascii="Times New Roman" w:hAnsi="Times New Roman" w:cs="Times New Roman"/>
          <w:sz w:val="24"/>
          <w:szCs w:val="24"/>
        </w:rPr>
        <w:t>for students who make “steady progress” toward</w:t>
      </w:r>
      <w:r w:rsidR="00410343" w:rsidRPr="00807628">
        <w:rPr>
          <w:rFonts w:ascii="Times New Roman" w:hAnsi="Times New Roman" w:cs="Times New Roman"/>
          <w:sz w:val="24"/>
          <w:szCs w:val="24"/>
        </w:rPr>
        <w:t xml:space="preserve"> </w:t>
      </w:r>
      <w:r w:rsidR="00314977">
        <w:rPr>
          <w:rFonts w:ascii="Times New Roman" w:hAnsi="Times New Roman" w:cs="Times New Roman"/>
          <w:sz w:val="24"/>
          <w:szCs w:val="24"/>
        </w:rPr>
        <w:t>obtaining their degree</w:t>
      </w:r>
      <w:r w:rsidR="00410343" w:rsidRPr="00807628">
        <w:rPr>
          <w:rFonts w:ascii="Times New Roman" w:hAnsi="Times New Roman" w:cs="Times New Roman"/>
          <w:sz w:val="24"/>
          <w:szCs w:val="24"/>
        </w:rPr>
        <w:t xml:space="preserve">, </w:t>
      </w:r>
      <w:r w:rsidR="00807628">
        <w:rPr>
          <w:rFonts w:ascii="Times New Roman" w:hAnsi="Times New Roman" w:cs="Times New Roman"/>
          <w:sz w:val="24"/>
          <w:szCs w:val="24"/>
        </w:rPr>
        <w:t xml:space="preserve">who </w:t>
      </w:r>
      <w:r w:rsidR="00410343" w:rsidRPr="00807628">
        <w:rPr>
          <w:rFonts w:ascii="Times New Roman" w:hAnsi="Times New Roman" w:cs="Times New Roman"/>
          <w:sz w:val="24"/>
          <w:szCs w:val="24"/>
        </w:rPr>
        <w:t xml:space="preserve">attend </w:t>
      </w:r>
      <w:r w:rsidR="00314977">
        <w:rPr>
          <w:rFonts w:ascii="Times New Roman" w:hAnsi="Times New Roman" w:cs="Times New Roman"/>
          <w:sz w:val="24"/>
          <w:szCs w:val="24"/>
        </w:rPr>
        <w:t xml:space="preserve">school </w:t>
      </w:r>
      <w:r w:rsidR="00410343" w:rsidRPr="00807628">
        <w:rPr>
          <w:rFonts w:ascii="Times New Roman" w:hAnsi="Times New Roman" w:cs="Times New Roman"/>
          <w:sz w:val="24"/>
          <w:szCs w:val="24"/>
        </w:rPr>
        <w:t xml:space="preserve">at least half-time, and </w:t>
      </w:r>
      <w:r w:rsidR="00314977">
        <w:rPr>
          <w:rFonts w:ascii="Times New Roman" w:hAnsi="Times New Roman" w:cs="Times New Roman"/>
          <w:sz w:val="24"/>
          <w:szCs w:val="24"/>
        </w:rPr>
        <w:t xml:space="preserve">who </w:t>
      </w:r>
      <w:r w:rsidR="00410343" w:rsidRPr="00807628">
        <w:rPr>
          <w:rFonts w:ascii="Times New Roman" w:hAnsi="Times New Roman" w:cs="Times New Roman"/>
          <w:sz w:val="24"/>
          <w:szCs w:val="24"/>
        </w:rPr>
        <w:t xml:space="preserve">maintain a 2.5 </w:t>
      </w:r>
      <w:r w:rsidR="00314977">
        <w:rPr>
          <w:rFonts w:ascii="Times New Roman" w:hAnsi="Times New Roman" w:cs="Times New Roman"/>
          <w:sz w:val="24"/>
          <w:szCs w:val="24"/>
        </w:rPr>
        <w:t>GPA.</w:t>
      </w:r>
      <w:r w:rsidR="00314977" w:rsidRPr="00E74148">
        <w:rPr>
          <w:rFonts w:ascii="Times New Roman" w:hAnsi="Times New Roman" w:cs="Times New Roman"/>
          <w:sz w:val="24"/>
          <w:szCs w:val="24"/>
          <w:vertAlign w:val="superscript"/>
        </w:rPr>
        <w:footnoteReference w:id="28"/>
      </w:r>
      <w:r w:rsidR="00314977">
        <w:rPr>
          <w:rFonts w:ascii="Times New Roman" w:hAnsi="Times New Roman" w:cs="Times New Roman"/>
          <w:sz w:val="24"/>
          <w:szCs w:val="24"/>
        </w:rPr>
        <w:t xml:space="preserve"> </w:t>
      </w:r>
      <w:r w:rsidR="00277E57">
        <w:rPr>
          <w:rFonts w:ascii="Times New Roman" w:hAnsi="Times New Roman" w:cs="Times New Roman"/>
          <w:sz w:val="24"/>
          <w:szCs w:val="24"/>
        </w:rPr>
        <w:t>And i</w:t>
      </w:r>
      <w:r>
        <w:rPr>
          <w:rFonts w:ascii="Times New Roman" w:hAnsi="Times New Roman" w:cs="Times New Roman"/>
          <w:sz w:val="24"/>
          <w:szCs w:val="24"/>
        </w:rPr>
        <w:t xml:space="preserve">t </w:t>
      </w:r>
      <w:r w:rsidR="00D53DDA">
        <w:rPr>
          <w:rFonts w:ascii="Times New Roman" w:hAnsi="Times New Roman" w:cs="Times New Roman"/>
          <w:sz w:val="24"/>
          <w:szCs w:val="24"/>
        </w:rPr>
        <w:t xml:space="preserve">would fund </w:t>
      </w:r>
      <w:r>
        <w:rPr>
          <w:rFonts w:ascii="Times New Roman" w:hAnsi="Times New Roman" w:cs="Times New Roman"/>
          <w:sz w:val="24"/>
          <w:szCs w:val="24"/>
        </w:rPr>
        <w:t xml:space="preserve">U.S. </w:t>
      </w:r>
      <w:r w:rsidR="00D53DDA" w:rsidRPr="00E74148">
        <w:rPr>
          <w:rFonts w:ascii="Times New Roman" w:hAnsi="Times New Roman" w:cs="Times New Roman"/>
          <w:sz w:val="24"/>
          <w:szCs w:val="24"/>
        </w:rPr>
        <w:t>Department of Education</w:t>
      </w:r>
      <w:r w:rsidR="00C035C0">
        <w:rPr>
          <w:rFonts w:ascii="Times New Roman" w:hAnsi="Times New Roman" w:cs="Times New Roman"/>
          <w:sz w:val="24"/>
          <w:szCs w:val="24"/>
        </w:rPr>
        <w:t xml:space="preserve"> (DoED)</w:t>
      </w:r>
      <w:r w:rsidR="00D53DDA">
        <w:rPr>
          <w:rFonts w:ascii="Times New Roman" w:hAnsi="Times New Roman" w:cs="Times New Roman"/>
          <w:sz w:val="24"/>
          <w:szCs w:val="24"/>
        </w:rPr>
        <w:t xml:space="preserve"> grants to community</w:t>
      </w:r>
      <w:r w:rsidR="00D53DDA" w:rsidRPr="00E74148">
        <w:rPr>
          <w:rFonts w:ascii="Times New Roman" w:hAnsi="Times New Roman" w:cs="Times New Roman"/>
          <w:sz w:val="24"/>
          <w:szCs w:val="24"/>
        </w:rPr>
        <w:t xml:space="preserve"> </w:t>
      </w:r>
      <w:r w:rsidR="00D53DDA">
        <w:rPr>
          <w:rFonts w:ascii="Times New Roman" w:hAnsi="Times New Roman" w:cs="Times New Roman"/>
          <w:sz w:val="24"/>
          <w:szCs w:val="24"/>
        </w:rPr>
        <w:t xml:space="preserve">colleges—as determined by, among others, </w:t>
      </w:r>
      <w:r w:rsidR="00277E57">
        <w:rPr>
          <w:rFonts w:ascii="Times New Roman" w:hAnsi="Times New Roman" w:cs="Times New Roman"/>
          <w:sz w:val="24"/>
          <w:szCs w:val="24"/>
        </w:rPr>
        <w:t>student outcomes (</w:t>
      </w:r>
      <w:r w:rsidR="00D53DDA">
        <w:rPr>
          <w:rFonts w:ascii="Times New Roman" w:hAnsi="Times New Roman" w:cs="Times New Roman"/>
          <w:sz w:val="24"/>
          <w:szCs w:val="24"/>
        </w:rPr>
        <w:t>including</w:t>
      </w:r>
      <w:r w:rsidR="00D53DDA" w:rsidRPr="00E74148">
        <w:rPr>
          <w:rFonts w:ascii="Times New Roman" w:hAnsi="Times New Roman" w:cs="Times New Roman"/>
          <w:sz w:val="24"/>
          <w:szCs w:val="24"/>
        </w:rPr>
        <w:t xml:space="preserve"> </w:t>
      </w:r>
      <w:r w:rsidR="00277E57">
        <w:rPr>
          <w:rFonts w:ascii="Times New Roman" w:hAnsi="Times New Roman" w:cs="Times New Roman"/>
          <w:sz w:val="24"/>
          <w:szCs w:val="24"/>
        </w:rPr>
        <w:t xml:space="preserve">graduation </w:t>
      </w:r>
      <w:r w:rsidR="00D53DDA" w:rsidRPr="00E74148">
        <w:rPr>
          <w:rFonts w:ascii="Times New Roman" w:hAnsi="Times New Roman" w:cs="Times New Roman"/>
          <w:sz w:val="24"/>
          <w:szCs w:val="24"/>
        </w:rPr>
        <w:t xml:space="preserve">and </w:t>
      </w:r>
      <w:r w:rsidR="00D53DDA">
        <w:rPr>
          <w:rFonts w:ascii="Times New Roman" w:hAnsi="Times New Roman" w:cs="Times New Roman"/>
          <w:sz w:val="24"/>
          <w:szCs w:val="24"/>
        </w:rPr>
        <w:t xml:space="preserve">transfer </w:t>
      </w:r>
      <w:r w:rsidR="00D53DDA" w:rsidRPr="00E74148">
        <w:rPr>
          <w:rFonts w:ascii="Times New Roman" w:hAnsi="Times New Roman" w:cs="Times New Roman"/>
          <w:sz w:val="24"/>
          <w:szCs w:val="24"/>
        </w:rPr>
        <w:t>rates to four-year institutions</w:t>
      </w:r>
      <w:r w:rsidR="00277E57">
        <w:rPr>
          <w:rFonts w:ascii="Times New Roman" w:hAnsi="Times New Roman" w:cs="Times New Roman"/>
          <w:sz w:val="24"/>
          <w:szCs w:val="24"/>
        </w:rPr>
        <w:t>)</w:t>
      </w:r>
      <w:r w:rsidR="00D53DDA" w:rsidRPr="00E74148">
        <w:rPr>
          <w:rFonts w:ascii="Times New Roman" w:hAnsi="Times New Roman" w:cs="Times New Roman"/>
          <w:sz w:val="24"/>
          <w:szCs w:val="24"/>
        </w:rPr>
        <w:t>.</w:t>
      </w:r>
      <w:r w:rsidR="00D53DDA" w:rsidRPr="00E74148">
        <w:rPr>
          <w:rFonts w:ascii="Times New Roman" w:hAnsi="Times New Roman" w:cs="Times New Roman"/>
          <w:sz w:val="24"/>
          <w:szCs w:val="24"/>
          <w:vertAlign w:val="superscript"/>
        </w:rPr>
        <w:footnoteReference w:id="29"/>
      </w:r>
      <w:r w:rsidR="00D53DDA">
        <w:rPr>
          <w:rFonts w:ascii="Times New Roman" w:hAnsi="Times New Roman" w:cs="Times New Roman"/>
          <w:sz w:val="24"/>
          <w:szCs w:val="24"/>
        </w:rPr>
        <w:t xml:space="preserve"> </w:t>
      </w:r>
      <w:r w:rsidR="00314977">
        <w:rPr>
          <w:rFonts w:ascii="Times New Roman" w:hAnsi="Times New Roman" w:cs="Times New Roman"/>
          <w:sz w:val="24"/>
          <w:szCs w:val="24"/>
        </w:rPr>
        <w:t xml:space="preserve">The federal government would pick up </w:t>
      </w:r>
      <w:r w:rsidR="00410343" w:rsidRPr="00807628">
        <w:rPr>
          <w:rFonts w:ascii="Times New Roman" w:hAnsi="Times New Roman" w:cs="Times New Roman"/>
          <w:sz w:val="24"/>
          <w:szCs w:val="24"/>
        </w:rPr>
        <w:t>three-quarters of the</w:t>
      </w:r>
      <w:r w:rsidR="00314977">
        <w:rPr>
          <w:rFonts w:ascii="Times New Roman" w:hAnsi="Times New Roman" w:cs="Times New Roman"/>
          <w:sz w:val="24"/>
          <w:szCs w:val="24"/>
        </w:rPr>
        <w:t xml:space="preserve"> tab</w:t>
      </w:r>
      <w:r w:rsidR="00D82016">
        <w:rPr>
          <w:rFonts w:ascii="Times New Roman" w:hAnsi="Times New Roman" w:cs="Times New Roman"/>
          <w:sz w:val="24"/>
          <w:szCs w:val="24"/>
        </w:rPr>
        <w:t>, with</w:t>
      </w:r>
      <w:r w:rsidR="00314977">
        <w:rPr>
          <w:rFonts w:ascii="Times New Roman" w:hAnsi="Times New Roman" w:cs="Times New Roman"/>
          <w:sz w:val="24"/>
          <w:szCs w:val="24"/>
        </w:rPr>
        <w:t xml:space="preserve"> </w:t>
      </w:r>
      <w:r>
        <w:rPr>
          <w:rFonts w:ascii="Times New Roman" w:hAnsi="Times New Roman" w:cs="Times New Roman"/>
          <w:sz w:val="24"/>
          <w:szCs w:val="24"/>
        </w:rPr>
        <w:t xml:space="preserve">states </w:t>
      </w:r>
      <w:r w:rsidR="00D82016">
        <w:rPr>
          <w:rFonts w:ascii="Times New Roman" w:hAnsi="Times New Roman" w:cs="Times New Roman"/>
          <w:sz w:val="24"/>
          <w:szCs w:val="24"/>
        </w:rPr>
        <w:t xml:space="preserve">on the hook for </w:t>
      </w:r>
      <w:r>
        <w:rPr>
          <w:rFonts w:ascii="Times New Roman" w:hAnsi="Times New Roman" w:cs="Times New Roman"/>
          <w:sz w:val="24"/>
          <w:szCs w:val="24"/>
        </w:rPr>
        <w:t>the rest.</w:t>
      </w:r>
    </w:p>
    <w:p w14:paraId="05055E4B" w14:textId="39B09737" w:rsidR="00410343" w:rsidRPr="00E74148" w:rsidRDefault="00820C22" w:rsidP="007E0126">
      <w:pPr>
        <w:spacing w:line="240" w:lineRule="auto"/>
        <w:ind w:firstLine="720"/>
        <w:rPr>
          <w:rFonts w:ascii="Times New Roman" w:hAnsi="Times New Roman" w:cs="Times New Roman"/>
          <w:sz w:val="24"/>
          <w:szCs w:val="24"/>
        </w:rPr>
      </w:pPr>
      <w:r>
        <w:rPr>
          <w:rFonts w:ascii="Times New Roman" w:hAnsi="Times New Roman" w:cs="Times New Roman"/>
          <w:sz w:val="24"/>
          <w:szCs w:val="24"/>
        </w:rPr>
        <w:t>Under America’s College Promise, g</w:t>
      </w:r>
      <w:r w:rsidR="00D53DDA">
        <w:rPr>
          <w:rFonts w:ascii="Times New Roman" w:hAnsi="Times New Roman" w:cs="Times New Roman"/>
          <w:sz w:val="24"/>
          <w:szCs w:val="24"/>
        </w:rPr>
        <w:t>rant</w:t>
      </w:r>
      <w:r w:rsidR="00410343" w:rsidRPr="00E74148">
        <w:rPr>
          <w:rFonts w:ascii="Times New Roman" w:hAnsi="Times New Roman" w:cs="Times New Roman"/>
          <w:sz w:val="24"/>
          <w:szCs w:val="24"/>
        </w:rPr>
        <w:t xml:space="preserve"> eligibility </w:t>
      </w:r>
      <w:r w:rsidR="00D53DDA">
        <w:rPr>
          <w:rFonts w:ascii="Times New Roman" w:hAnsi="Times New Roman" w:cs="Times New Roman"/>
          <w:sz w:val="24"/>
          <w:szCs w:val="24"/>
        </w:rPr>
        <w:t xml:space="preserve">would be limited </w:t>
      </w:r>
      <w:r w:rsidR="00410343" w:rsidRPr="00E74148">
        <w:rPr>
          <w:rFonts w:ascii="Times New Roman" w:hAnsi="Times New Roman" w:cs="Times New Roman"/>
          <w:sz w:val="24"/>
          <w:szCs w:val="24"/>
        </w:rPr>
        <w:t>to community colleges that</w:t>
      </w:r>
      <w:r w:rsidR="006907F8">
        <w:rPr>
          <w:rFonts w:ascii="Times New Roman" w:hAnsi="Times New Roman" w:cs="Times New Roman"/>
          <w:sz w:val="24"/>
          <w:szCs w:val="24"/>
        </w:rPr>
        <w:t xml:space="preserve"> both</w:t>
      </w:r>
      <w:r w:rsidR="00410343" w:rsidRPr="00E74148">
        <w:rPr>
          <w:rFonts w:ascii="Times New Roman" w:hAnsi="Times New Roman" w:cs="Times New Roman"/>
          <w:sz w:val="24"/>
          <w:szCs w:val="24"/>
        </w:rPr>
        <w:t xml:space="preserve"> offer degrees transferable to four-year colleges</w:t>
      </w:r>
      <w:r w:rsidR="00961977">
        <w:rPr>
          <w:rFonts w:ascii="Times New Roman" w:hAnsi="Times New Roman" w:cs="Times New Roman"/>
          <w:sz w:val="24"/>
          <w:szCs w:val="24"/>
        </w:rPr>
        <w:t xml:space="preserve"> and that offer</w:t>
      </w:r>
      <w:r w:rsidR="00410343" w:rsidRPr="00E74148">
        <w:rPr>
          <w:rFonts w:ascii="Times New Roman" w:hAnsi="Times New Roman" w:cs="Times New Roman"/>
          <w:sz w:val="24"/>
          <w:szCs w:val="24"/>
        </w:rPr>
        <w:t xml:space="preserve"> </w:t>
      </w:r>
      <w:r w:rsidR="00961977">
        <w:rPr>
          <w:rFonts w:ascii="Times New Roman" w:hAnsi="Times New Roman" w:cs="Times New Roman"/>
          <w:sz w:val="24"/>
          <w:szCs w:val="24"/>
        </w:rPr>
        <w:t>“occupational-training programs”</w:t>
      </w:r>
      <w:r w:rsidR="00A551B0">
        <w:rPr>
          <w:rFonts w:ascii="Times New Roman" w:hAnsi="Times New Roman" w:cs="Times New Roman"/>
          <w:sz w:val="24"/>
          <w:szCs w:val="24"/>
        </w:rPr>
        <w:t xml:space="preserve"> in high</w:t>
      </w:r>
      <w:r w:rsidR="00410343" w:rsidRPr="00E74148">
        <w:rPr>
          <w:rFonts w:ascii="Times New Roman" w:hAnsi="Times New Roman" w:cs="Times New Roman"/>
          <w:sz w:val="24"/>
          <w:szCs w:val="24"/>
        </w:rPr>
        <w:t xml:space="preserve">-demand fields. </w:t>
      </w:r>
      <w:r w:rsidR="00A551B0">
        <w:rPr>
          <w:rFonts w:ascii="Times New Roman" w:hAnsi="Times New Roman" w:cs="Times New Roman"/>
          <w:sz w:val="24"/>
          <w:szCs w:val="24"/>
        </w:rPr>
        <w:t>T</w:t>
      </w:r>
      <w:r w:rsidR="00A551B0" w:rsidRPr="00E74148">
        <w:rPr>
          <w:rFonts w:ascii="Times New Roman" w:hAnsi="Times New Roman" w:cs="Times New Roman"/>
          <w:sz w:val="24"/>
          <w:szCs w:val="24"/>
        </w:rPr>
        <w:t>o improve graduation and employment rates</w:t>
      </w:r>
      <w:r w:rsidR="00A551B0">
        <w:rPr>
          <w:rFonts w:ascii="Times New Roman" w:hAnsi="Times New Roman" w:cs="Times New Roman"/>
          <w:sz w:val="24"/>
          <w:szCs w:val="24"/>
        </w:rPr>
        <w:t xml:space="preserve">, </w:t>
      </w:r>
      <w:r w:rsidR="006907F8">
        <w:rPr>
          <w:rFonts w:ascii="Times New Roman" w:hAnsi="Times New Roman" w:cs="Times New Roman"/>
          <w:sz w:val="24"/>
          <w:szCs w:val="24"/>
        </w:rPr>
        <w:t xml:space="preserve">community colleges </w:t>
      </w:r>
      <w:r w:rsidR="00410343" w:rsidRPr="00E74148">
        <w:rPr>
          <w:rFonts w:ascii="Times New Roman" w:hAnsi="Times New Roman" w:cs="Times New Roman"/>
          <w:sz w:val="24"/>
          <w:szCs w:val="24"/>
        </w:rPr>
        <w:t xml:space="preserve">would </w:t>
      </w:r>
      <w:r w:rsidR="00A551B0">
        <w:rPr>
          <w:rFonts w:ascii="Times New Roman" w:hAnsi="Times New Roman" w:cs="Times New Roman"/>
          <w:sz w:val="24"/>
          <w:szCs w:val="24"/>
        </w:rPr>
        <w:t>be obliged</w:t>
      </w:r>
      <w:r w:rsidR="00410343" w:rsidRPr="00E74148">
        <w:rPr>
          <w:rFonts w:ascii="Times New Roman" w:hAnsi="Times New Roman" w:cs="Times New Roman"/>
          <w:sz w:val="24"/>
          <w:szCs w:val="24"/>
        </w:rPr>
        <w:t xml:space="preserve"> to implement “promising and evidence-based institutional reforms and innovative practices</w:t>
      </w:r>
      <w:r w:rsidR="00A551B0">
        <w:rPr>
          <w:rFonts w:ascii="Times New Roman" w:hAnsi="Times New Roman" w:cs="Times New Roman"/>
          <w:sz w:val="24"/>
          <w:szCs w:val="24"/>
        </w:rPr>
        <w:t>.</w:t>
      </w:r>
      <w:r w:rsidR="00410343" w:rsidRPr="00E74148">
        <w:rPr>
          <w:rFonts w:ascii="Times New Roman" w:hAnsi="Times New Roman" w:cs="Times New Roman"/>
          <w:sz w:val="24"/>
          <w:szCs w:val="24"/>
        </w:rPr>
        <w:t>”</w:t>
      </w:r>
      <w:r w:rsidR="00410343" w:rsidRPr="00E74148">
        <w:rPr>
          <w:rFonts w:ascii="Times New Roman" w:hAnsi="Times New Roman" w:cs="Times New Roman"/>
          <w:sz w:val="24"/>
          <w:szCs w:val="24"/>
          <w:vertAlign w:val="superscript"/>
        </w:rPr>
        <w:footnoteReference w:id="30"/>
      </w:r>
    </w:p>
    <w:p w14:paraId="00050237" w14:textId="15963141" w:rsidR="00410343" w:rsidRPr="00E74148" w:rsidRDefault="00410343" w:rsidP="008B2C4B">
      <w:pPr>
        <w:spacing w:line="240" w:lineRule="auto"/>
        <w:ind w:firstLine="720"/>
        <w:rPr>
          <w:rFonts w:ascii="Times New Roman" w:hAnsi="Times New Roman" w:cs="Times New Roman"/>
          <w:sz w:val="24"/>
          <w:szCs w:val="24"/>
        </w:rPr>
      </w:pPr>
      <w:r w:rsidRPr="00E74148">
        <w:rPr>
          <w:rFonts w:ascii="Times New Roman" w:hAnsi="Times New Roman" w:cs="Times New Roman"/>
          <w:sz w:val="24"/>
          <w:szCs w:val="24"/>
        </w:rPr>
        <w:t>By attempting to steer some students to community colleges that offer vocational training i</w:t>
      </w:r>
      <w:r w:rsidR="00A551B0">
        <w:rPr>
          <w:rFonts w:ascii="Times New Roman" w:hAnsi="Times New Roman" w:cs="Times New Roman"/>
          <w:sz w:val="24"/>
          <w:szCs w:val="24"/>
        </w:rPr>
        <w:t>n high</w:t>
      </w:r>
      <w:r w:rsidRPr="00E74148">
        <w:rPr>
          <w:rFonts w:ascii="Times New Roman" w:hAnsi="Times New Roman" w:cs="Times New Roman"/>
          <w:sz w:val="24"/>
          <w:szCs w:val="24"/>
        </w:rPr>
        <w:t xml:space="preserve">-demand fields, </w:t>
      </w:r>
      <w:r w:rsidR="00A551B0">
        <w:rPr>
          <w:rFonts w:ascii="Times New Roman" w:hAnsi="Times New Roman" w:cs="Times New Roman"/>
          <w:sz w:val="24"/>
          <w:szCs w:val="24"/>
        </w:rPr>
        <w:t xml:space="preserve">President Obama’s initiative correctly </w:t>
      </w:r>
      <w:r w:rsidRPr="00E74148">
        <w:rPr>
          <w:rFonts w:ascii="Times New Roman" w:hAnsi="Times New Roman" w:cs="Times New Roman"/>
          <w:sz w:val="24"/>
          <w:szCs w:val="24"/>
        </w:rPr>
        <w:t xml:space="preserve">promotes the notion that not everyone should attend a four-year liberal arts college. </w:t>
      </w:r>
      <w:r w:rsidR="00A551B0">
        <w:rPr>
          <w:rFonts w:ascii="Times New Roman" w:hAnsi="Times New Roman" w:cs="Times New Roman"/>
          <w:sz w:val="24"/>
          <w:szCs w:val="24"/>
        </w:rPr>
        <w:t>T</w:t>
      </w:r>
      <w:r w:rsidRPr="00E74148">
        <w:rPr>
          <w:rFonts w:ascii="Times New Roman" w:hAnsi="Times New Roman" w:cs="Times New Roman"/>
          <w:sz w:val="24"/>
          <w:szCs w:val="24"/>
        </w:rPr>
        <w:t xml:space="preserve">he president’s rhetoric on improving outcomes </w:t>
      </w:r>
      <w:r w:rsidR="00A551B0">
        <w:rPr>
          <w:rFonts w:ascii="Times New Roman" w:hAnsi="Times New Roman" w:cs="Times New Roman"/>
          <w:sz w:val="24"/>
          <w:szCs w:val="24"/>
        </w:rPr>
        <w:t xml:space="preserve">also </w:t>
      </w:r>
      <w:r w:rsidRPr="00E74148">
        <w:rPr>
          <w:rFonts w:ascii="Times New Roman" w:hAnsi="Times New Roman" w:cs="Times New Roman"/>
          <w:sz w:val="24"/>
          <w:szCs w:val="24"/>
        </w:rPr>
        <w:t xml:space="preserve">calls </w:t>
      </w:r>
      <w:r w:rsidR="00A551B0">
        <w:rPr>
          <w:rFonts w:ascii="Times New Roman" w:hAnsi="Times New Roman" w:cs="Times New Roman"/>
          <w:sz w:val="24"/>
          <w:szCs w:val="24"/>
        </w:rPr>
        <w:t xml:space="preserve">deserved </w:t>
      </w:r>
      <w:r w:rsidRPr="00E74148">
        <w:rPr>
          <w:rFonts w:ascii="Times New Roman" w:hAnsi="Times New Roman" w:cs="Times New Roman"/>
          <w:sz w:val="24"/>
          <w:szCs w:val="24"/>
        </w:rPr>
        <w:t xml:space="preserve">attention to </w:t>
      </w:r>
      <w:r w:rsidR="00A551B0">
        <w:rPr>
          <w:rFonts w:ascii="Times New Roman" w:hAnsi="Times New Roman" w:cs="Times New Roman"/>
          <w:sz w:val="24"/>
          <w:szCs w:val="24"/>
        </w:rPr>
        <w:t xml:space="preserve">current </w:t>
      </w:r>
      <w:r w:rsidRPr="00E74148">
        <w:rPr>
          <w:rFonts w:ascii="Times New Roman" w:hAnsi="Times New Roman" w:cs="Times New Roman"/>
          <w:sz w:val="24"/>
          <w:szCs w:val="24"/>
        </w:rPr>
        <w:t xml:space="preserve">subpar outcomes at </w:t>
      </w:r>
      <w:r w:rsidR="008B2C4B">
        <w:rPr>
          <w:rFonts w:ascii="Times New Roman" w:hAnsi="Times New Roman" w:cs="Times New Roman"/>
          <w:sz w:val="24"/>
          <w:szCs w:val="24"/>
        </w:rPr>
        <w:t xml:space="preserve">America’s </w:t>
      </w:r>
      <w:r w:rsidR="006907F8">
        <w:rPr>
          <w:rFonts w:ascii="Times New Roman" w:hAnsi="Times New Roman" w:cs="Times New Roman"/>
          <w:sz w:val="24"/>
          <w:szCs w:val="24"/>
        </w:rPr>
        <w:t>community colleges.</w:t>
      </w:r>
      <w:r w:rsidR="008B2C4B">
        <w:rPr>
          <w:rFonts w:ascii="Times New Roman" w:hAnsi="Times New Roman" w:cs="Times New Roman"/>
          <w:sz w:val="24"/>
          <w:szCs w:val="24"/>
        </w:rPr>
        <w:t xml:space="preserve"> </w:t>
      </w:r>
      <w:r w:rsidR="00A551B0">
        <w:rPr>
          <w:rFonts w:ascii="Times New Roman" w:hAnsi="Times New Roman" w:cs="Times New Roman"/>
          <w:sz w:val="24"/>
          <w:szCs w:val="24"/>
        </w:rPr>
        <w:t>But the i</w:t>
      </w:r>
      <w:r w:rsidR="008B2C4B">
        <w:rPr>
          <w:rFonts w:ascii="Times New Roman" w:hAnsi="Times New Roman" w:cs="Times New Roman"/>
          <w:sz w:val="24"/>
          <w:szCs w:val="24"/>
        </w:rPr>
        <w:t>nitiative is not without flaws: w</w:t>
      </w:r>
      <w:r w:rsidRPr="00E74148">
        <w:rPr>
          <w:rFonts w:ascii="Times New Roman" w:hAnsi="Times New Roman" w:cs="Times New Roman"/>
          <w:sz w:val="24"/>
          <w:szCs w:val="24"/>
        </w:rPr>
        <w:t xml:space="preserve">hile </w:t>
      </w:r>
      <w:r w:rsidR="00A551B0">
        <w:rPr>
          <w:rFonts w:ascii="Times New Roman" w:hAnsi="Times New Roman" w:cs="Times New Roman"/>
          <w:sz w:val="24"/>
          <w:szCs w:val="24"/>
        </w:rPr>
        <w:t xml:space="preserve">rightly </w:t>
      </w:r>
      <w:r w:rsidRPr="00E74148">
        <w:rPr>
          <w:rFonts w:ascii="Times New Roman" w:hAnsi="Times New Roman" w:cs="Times New Roman"/>
          <w:sz w:val="24"/>
          <w:szCs w:val="24"/>
        </w:rPr>
        <w:t>reward</w:t>
      </w:r>
      <w:r w:rsidR="00A551B0">
        <w:rPr>
          <w:rFonts w:ascii="Times New Roman" w:hAnsi="Times New Roman" w:cs="Times New Roman"/>
          <w:sz w:val="24"/>
          <w:szCs w:val="24"/>
        </w:rPr>
        <w:t>ing</w:t>
      </w:r>
      <w:r w:rsidRPr="00E74148">
        <w:rPr>
          <w:rFonts w:ascii="Times New Roman" w:hAnsi="Times New Roman" w:cs="Times New Roman"/>
          <w:sz w:val="24"/>
          <w:szCs w:val="24"/>
        </w:rPr>
        <w:t xml:space="preserve"> schools with good graduation rates, it would do little to fix the majority of commu</w:t>
      </w:r>
      <w:r w:rsidR="008B2C4B">
        <w:rPr>
          <w:rFonts w:ascii="Times New Roman" w:hAnsi="Times New Roman" w:cs="Times New Roman"/>
          <w:sz w:val="24"/>
          <w:szCs w:val="24"/>
        </w:rPr>
        <w:t>nity colleges that underperform; i</w:t>
      </w:r>
      <w:r w:rsidRPr="00E74148">
        <w:rPr>
          <w:rFonts w:ascii="Times New Roman" w:hAnsi="Times New Roman" w:cs="Times New Roman"/>
          <w:sz w:val="24"/>
          <w:szCs w:val="24"/>
        </w:rPr>
        <w:t xml:space="preserve">ndeed, the </w:t>
      </w:r>
      <w:r w:rsidR="00A551B0">
        <w:rPr>
          <w:rFonts w:ascii="Times New Roman" w:hAnsi="Times New Roman" w:cs="Times New Roman"/>
          <w:sz w:val="24"/>
          <w:szCs w:val="24"/>
        </w:rPr>
        <w:t xml:space="preserve">initiative </w:t>
      </w:r>
      <w:r w:rsidRPr="00E74148">
        <w:rPr>
          <w:rFonts w:ascii="Times New Roman" w:hAnsi="Times New Roman" w:cs="Times New Roman"/>
          <w:sz w:val="24"/>
          <w:szCs w:val="24"/>
        </w:rPr>
        <w:t>runs the risk of subsidizing a few excellent schools while lea</w:t>
      </w:r>
      <w:r w:rsidR="00A551B0">
        <w:rPr>
          <w:rFonts w:ascii="Times New Roman" w:hAnsi="Times New Roman" w:cs="Times New Roman"/>
          <w:sz w:val="24"/>
          <w:szCs w:val="24"/>
        </w:rPr>
        <w:t>ving many more—</w:t>
      </w:r>
      <w:r w:rsidRPr="00E74148">
        <w:rPr>
          <w:rFonts w:ascii="Times New Roman" w:hAnsi="Times New Roman" w:cs="Times New Roman"/>
          <w:sz w:val="24"/>
          <w:szCs w:val="24"/>
        </w:rPr>
        <w:t>an</w:t>
      </w:r>
      <w:r w:rsidR="00A551B0">
        <w:rPr>
          <w:rFonts w:ascii="Times New Roman" w:hAnsi="Times New Roman" w:cs="Times New Roman"/>
          <w:sz w:val="24"/>
          <w:szCs w:val="24"/>
        </w:rPr>
        <w:t>d the students who attend them—to flounder.</w:t>
      </w:r>
    </w:p>
    <w:p w14:paraId="5B32987F" w14:textId="13FB9E7D" w:rsidR="00410343" w:rsidRPr="00E74148" w:rsidRDefault="008B2C4B" w:rsidP="00782C0D">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America’s College Promise’s </w:t>
      </w:r>
      <w:r w:rsidR="00410343" w:rsidRPr="00E74148">
        <w:rPr>
          <w:rFonts w:ascii="Times New Roman" w:hAnsi="Times New Roman" w:cs="Times New Roman"/>
          <w:sz w:val="24"/>
          <w:szCs w:val="24"/>
        </w:rPr>
        <w:t xml:space="preserve">pledge to tie grant awards to performance </w:t>
      </w:r>
      <w:r>
        <w:rPr>
          <w:rFonts w:ascii="Times New Roman" w:hAnsi="Times New Roman" w:cs="Times New Roman"/>
          <w:sz w:val="24"/>
          <w:szCs w:val="24"/>
        </w:rPr>
        <w:t xml:space="preserve">also </w:t>
      </w:r>
      <w:r w:rsidR="00410343" w:rsidRPr="00E74148">
        <w:rPr>
          <w:rFonts w:ascii="Times New Roman" w:hAnsi="Times New Roman" w:cs="Times New Roman"/>
          <w:sz w:val="24"/>
          <w:szCs w:val="24"/>
        </w:rPr>
        <w:t>merits skepticism</w:t>
      </w:r>
      <w:r>
        <w:rPr>
          <w:rFonts w:ascii="Times New Roman" w:hAnsi="Times New Roman" w:cs="Times New Roman"/>
          <w:sz w:val="24"/>
          <w:szCs w:val="24"/>
        </w:rPr>
        <w:t xml:space="preserve">. </w:t>
      </w:r>
      <w:r w:rsidR="00A551B0">
        <w:rPr>
          <w:rFonts w:ascii="Times New Roman" w:hAnsi="Times New Roman" w:cs="Times New Roman"/>
          <w:sz w:val="24"/>
          <w:szCs w:val="24"/>
        </w:rPr>
        <w:t>President Obama’</w:t>
      </w:r>
      <w:r w:rsidR="00410343" w:rsidRPr="00E74148">
        <w:rPr>
          <w:rFonts w:ascii="Times New Roman" w:hAnsi="Times New Roman" w:cs="Times New Roman"/>
          <w:sz w:val="24"/>
          <w:szCs w:val="24"/>
        </w:rPr>
        <w:t xml:space="preserve">s </w:t>
      </w:r>
      <w:r w:rsidR="00A551B0">
        <w:rPr>
          <w:rFonts w:ascii="Times New Roman" w:hAnsi="Times New Roman" w:cs="Times New Roman"/>
          <w:sz w:val="24"/>
          <w:szCs w:val="24"/>
        </w:rPr>
        <w:t xml:space="preserve">2016 </w:t>
      </w:r>
      <w:r w:rsidR="00410343" w:rsidRPr="00E74148">
        <w:rPr>
          <w:rFonts w:ascii="Times New Roman" w:hAnsi="Times New Roman" w:cs="Times New Roman"/>
          <w:sz w:val="24"/>
          <w:szCs w:val="24"/>
        </w:rPr>
        <w:t>budget specifies that the federal formula to distribute aid will be based only “in part” on student outcomes</w:t>
      </w:r>
      <w:r w:rsidR="00A551B0">
        <w:rPr>
          <w:rFonts w:ascii="Times New Roman" w:hAnsi="Times New Roman" w:cs="Times New Roman"/>
          <w:sz w:val="24"/>
          <w:szCs w:val="24"/>
        </w:rPr>
        <w:t>, such as</w:t>
      </w:r>
      <w:r w:rsidR="00410343" w:rsidRPr="00E74148">
        <w:rPr>
          <w:rFonts w:ascii="Times New Roman" w:hAnsi="Times New Roman" w:cs="Times New Roman"/>
          <w:sz w:val="24"/>
          <w:szCs w:val="24"/>
        </w:rPr>
        <w:t xml:space="preserve"> </w:t>
      </w:r>
      <w:r>
        <w:rPr>
          <w:rFonts w:ascii="Times New Roman" w:hAnsi="Times New Roman" w:cs="Times New Roman"/>
          <w:sz w:val="24"/>
          <w:szCs w:val="24"/>
        </w:rPr>
        <w:t xml:space="preserve">graduation </w:t>
      </w:r>
      <w:r w:rsidR="00410343" w:rsidRPr="00E74148">
        <w:rPr>
          <w:rFonts w:ascii="Times New Roman" w:hAnsi="Times New Roman" w:cs="Times New Roman"/>
          <w:sz w:val="24"/>
          <w:szCs w:val="24"/>
        </w:rPr>
        <w:t xml:space="preserve">rates. This qualification opens the door for the federal government to weigh other factors </w:t>
      </w:r>
      <w:r w:rsidR="00782C0D">
        <w:rPr>
          <w:rFonts w:ascii="Times New Roman" w:hAnsi="Times New Roman" w:cs="Times New Roman"/>
          <w:sz w:val="24"/>
          <w:szCs w:val="24"/>
        </w:rPr>
        <w:t>unrelated to student success—</w:t>
      </w:r>
      <w:r w:rsidR="00410343" w:rsidRPr="00E74148">
        <w:rPr>
          <w:rFonts w:ascii="Times New Roman" w:hAnsi="Times New Roman" w:cs="Times New Roman"/>
          <w:sz w:val="24"/>
          <w:szCs w:val="24"/>
        </w:rPr>
        <w:t>such as</w:t>
      </w:r>
      <w:r w:rsidR="00782C0D">
        <w:rPr>
          <w:rFonts w:ascii="Times New Roman" w:hAnsi="Times New Roman" w:cs="Times New Roman"/>
          <w:sz w:val="24"/>
          <w:szCs w:val="24"/>
        </w:rPr>
        <w:t>, say, the</w:t>
      </w:r>
      <w:r w:rsidR="00410343" w:rsidRPr="00E74148">
        <w:rPr>
          <w:rFonts w:ascii="Times New Roman" w:hAnsi="Times New Roman" w:cs="Times New Roman"/>
          <w:sz w:val="24"/>
          <w:szCs w:val="24"/>
        </w:rPr>
        <w:t xml:space="preserve"> percentage of mi</w:t>
      </w:r>
      <w:r w:rsidR="00782C0D">
        <w:rPr>
          <w:rFonts w:ascii="Times New Roman" w:hAnsi="Times New Roman" w:cs="Times New Roman"/>
          <w:sz w:val="24"/>
          <w:szCs w:val="24"/>
        </w:rPr>
        <w:t xml:space="preserve">nority and low-income students—equally or more heavily. All this suggests that the initiative’s </w:t>
      </w:r>
      <w:r w:rsidR="00410343" w:rsidRPr="00E74148">
        <w:rPr>
          <w:rFonts w:ascii="Times New Roman" w:hAnsi="Times New Roman" w:cs="Times New Roman"/>
          <w:sz w:val="24"/>
          <w:szCs w:val="24"/>
        </w:rPr>
        <w:t xml:space="preserve">primary </w:t>
      </w:r>
      <w:r w:rsidR="00782C0D">
        <w:rPr>
          <w:rFonts w:ascii="Times New Roman" w:hAnsi="Times New Roman" w:cs="Times New Roman"/>
          <w:sz w:val="24"/>
          <w:szCs w:val="24"/>
        </w:rPr>
        <w:t xml:space="preserve">goal is </w:t>
      </w:r>
      <w:r>
        <w:rPr>
          <w:rFonts w:ascii="Times New Roman" w:hAnsi="Times New Roman" w:cs="Times New Roman"/>
          <w:sz w:val="24"/>
          <w:szCs w:val="24"/>
        </w:rPr>
        <w:t>not to improve</w:t>
      </w:r>
      <w:r w:rsidRPr="00E74148">
        <w:rPr>
          <w:rFonts w:ascii="Times New Roman" w:hAnsi="Times New Roman" w:cs="Times New Roman"/>
          <w:sz w:val="24"/>
          <w:szCs w:val="24"/>
        </w:rPr>
        <w:t xml:space="preserve"> </w:t>
      </w:r>
      <w:r>
        <w:rPr>
          <w:rFonts w:ascii="Times New Roman" w:hAnsi="Times New Roman" w:cs="Times New Roman"/>
          <w:sz w:val="24"/>
          <w:szCs w:val="24"/>
        </w:rPr>
        <w:t xml:space="preserve">student </w:t>
      </w:r>
      <w:r w:rsidRPr="00E74148">
        <w:rPr>
          <w:rFonts w:ascii="Times New Roman" w:hAnsi="Times New Roman" w:cs="Times New Roman"/>
          <w:sz w:val="24"/>
          <w:szCs w:val="24"/>
        </w:rPr>
        <w:t>outcomes</w:t>
      </w:r>
      <w:r>
        <w:rPr>
          <w:rFonts w:ascii="Times New Roman" w:hAnsi="Times New Roman" w:cs="Times New Roman"/>
          <w:sz w:val="24"/>
          <w:szCs w:val="24"/>
        </w:rPr>
        <w:t xml:space="preserve">, but merely </w:t>
      </w:r>
      <w:r w:rsidR="00782C0D">
        <w:rPr>
          <w:rFonts w:ascii="Times New Roman" w:hAnsi="Times New Roman" w:cs="Times New Roman"/>
          <w:sz w:val="24"/>
          <w:szCs w:val="24"/>
        </w:rPr>
        <w:t>to direct more students to</w:t>
      </w:r>
      <w:r w:rsidR="00410343" w:rsidRPr="00E74148">
        <w:rPr>
          <w:rFonts w:ascii="Times New Roman" w:hAnsi="Times New Roman" w:cs="Times New Roman"/>
          <w:sz w:val="24"/>
          <w:szCs w:val="24"/>
        </w:rPr>
        <w:t xml:space="preserve"> community colleges</w:t>
      </w:r>
      <w:r w:rsidR="00C436FB">
        <w:rPr>
          <w:rFonts w:ascii="Times New Roman" w:hAnsi="Times New Roman" w:cs="Times New Roman"/>
          <w:sz w:val="24"/>
          <w:szCs w:val="24"/>
        </w:rPr>
        <w:t>.</w:t>
      </w:r>
    </w:p>
    <w:p w14:paraId="3F1139E6" w14:textId="131AA39B" w:rsidR="00410343" w:rsidRPr="00E74148" w:rsidRDefault="00C436FB" w:rsidP="00767D2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Though </w:t>
      </w:r>
      <w:r w:rsidR="001D2C1B">
        <w:rPr>
          <w:rFonts w:ascii="Times New Roman" w:hAnsi="Times New Roman" w:cs="Times New Roman"/>
          <w:sz w:val="24"/>
          <w:szCs w:val="24"/>
        </w:rPr>
        <w:t xml:space="preserve">America’s College Promise appears </w:t>
      </w:r>
      <w:r>
        <w:rPr>
          <w:rFonts w:ascii="Times New Roman" w:hAnsi="Times New Roman" w:cs="Times New Roman"/>
          <w:sz w:val="24"/>
          <w:szCs w:val="24"/>
        </w:rPr>
        <w:t xml:space="preserve">unlikely to </w:t>
      </w:r>
      <w:r w:rsidR="001D2C1B">
        <w:rPr>
          <w:rFonts w:ascii="Times New Roman" w:hAnsi="Times New Roman" w:cs="Times New Roman"/>
          <w:sz w:val="24"/>
          <w:szCs w:val="24"/>
        </w:rPr>
        <w:t xml:space="preserve">pass Congress, </w:t>
      </w:r>
      <w:r w:rsidR="00410343" w:rsidRPr="00E74148">
        <w:rPr>
          <w:rFonts w:ascii="Times New Roman" w:hAnsi="Times New Roman" w:cs="Times New Roman"/>
          <w:sz w:val="24"/>
          <w:szCs w:val="24"/>
        </w:rPr>
        <w:t xml:space="preserve">reformers should </w:t>
      </w:r>
      <w:r w:rsidR="00767D2B">
        <w:rPr>
          <w:rFonts w:ascii="Times New Roman" w:hAnsi="Times New Roman" w:cs="Times New Roman"/>
          <w:sz w:val="24"/>
          <w:szCs w:val="24"/>
        </w:rPr>
        <w:t xml:space="preserve">instead </w:t>
      </w:r>
      <w:r w:rsidR="00410343" w:rsidRPr="00E74148">
        <w:rPr>
          <w:rFonts w:ascii="Times New Roman" w:hAnsi="Times New Roman" w:cs="Times New Roman"/>
          <w:sz w:val="24"/>
          <w:szCs w:val="24"/>
        </w:rPr>
        <w:t xml:space="preserve">consider better ways to improve </w:t>
      </w:r>
      <w:r w:rsidR="00767D2B">
        <w:rPr>
          <w:rFonts w:ascii="Times New Roman" w:hAnsi="Times New Roman" w:cs="Times New Roman"/>
          <w:sz w:val="24"/>
          <w:szCs w:val="24"/>
        </w:rPr>
        <w:t>outcomes at America’s community colleges.</w:t>
      </w:r>
    </w:p>
    <w:p w14:paraId="12E6F444" w14:textId="77777777" w:rsidR="00410343" w:rsidRPr="00E74148" w:rsidRDefault="00410343" w:rsidP="00E74148">
      <w:pPr>
        <w:spacing w:line="240" w:lineRule="auto"/>
        <w:rPr>
          <w:rFonts w:ascii="Times New Roman" w:hAnsi="Times New Roman" w:cs="Times New Roman"/>
          <w:sz w:val="24"/>
          <w:szCs w:val="24"/>
        </w:rPr>
      </w:pPr>
    </w:p>
    <w:p w14:paraId="413581A9" w14:textId="32F34702" w:rsidR="00016A9A" w:rsidRPr="00977ED9" w:rsidRDefault="00410343" w:rsidP="00E74148">
      <w:pPr>
        <w:spacing w:line="240" w:lineRule="auto"/>
        <w:rPr>
          <w:rFonts w:ascii="Times New Roman" w:hAnsi="Times New Roman" w:cs="Times New Roman"/>
          <w:b/>
          <w:sz w:val="24"/>
          <w:szCs w:val="24"/>
        </w:rPr>
      </w:pPr>
      <w:r w:rsidRPr="003D74EE">
        <w:rPr>
          <w:rFonts w:ascii="Times New Roman" w:hAnsi="Times New Roman" w:cs="Times New Roman"/>
          <w:b/>
          <w:sz w:val="24"/>
          <w:szCs w:val="24"/>
        </w:rPr>
        <w:t xml:space="preserve">V. </w:t>
      </w:r>
      <w:r w:rsidR="005254DC">
        <w:rPr>
          <w:rFonts w:ascii="Times New Roman" w:hAnsi="Times New Roman" w:cs="Times New Roman"/>
          <w:b/>
          <w:sz w:val="24"/>
          <w:szCs w:val="24"/>
        </w:rPr>
        <w:t>Explaining Poor Performance</w:t>
      </w:r>
    </w:p>
    <w:p w14:paraId="6B7B5E06" w14:textId="77777777" w:rsidR="00A80EA2" w:rsidRDefault="00FC16A0" w:rsidP="00DB6C96">
      <w:pPr>
        <w:spacing w:line="240" w:lineRule="auto"/>
        <w:rPr>
          <w:rFonts w:ascii="Times New Roman" w:hAnsi="Times New Roman" w:cs="Times New Roman"/>
          <w:sz w:val="24"/>
          <w:szCs w:val="24"/>
        </w:rPr>
      </w:pPr>
      <w:r>
        <w:rPr>
          <w:rFonts w:ascii="Times New Roman" w:hAnsi="Times New Roman" w:cs="Times New Roman"/>
          <w:sz w:val="24"/>
          <w:szCs w:val="24"/>
        </w:rPr>
        <w:t xml:space="preserve">Administering the right medicine to </w:t>
      </w:r>
      <w:r w:rsidR="00376668">
        <w:rPr>
          <w:rFonts w:ascii="Times New Roman" w:hAnsi="Times New Roman" w:cs="Times New Roman"/>
          <w:sz w:val="24"/>
          <w:szCs w:val="24"/>
        </w:rPr>
        <w:t>America’s</w:t>
      </w:r>
      <w:r w:rsidR="00016A9A" w:rsidRPr="00E74148">
        <w:rPr>
          <w:rFonts w:ascii="Times New Roman" w:hAnsi="Times New Roman" w:cs="Times New Roman"/>
          <w:sz w:val="24"/>
          <w:szCs w:val="24"/>
        </w:rPr>
        <w:t xml:space="preserve"> </w:t>
      </w:r>
      <w:r w:rsidR="005254DC">
        <w:rPr>
          <w:rFonts w:ascii="Times New Roman" w:hAnsi="Times New Roman" w:cs="Times New Roman"/>
          <w:sz w:val="24"/>
          <w:szCs w:val="24"/>
        </w:rPr>
        <w:t xml:space="preserve">ailing </w:t>
      </w:r>
      <w:r w:rsidR="00A86FA6">
        <w:rPr>
          <w:rFonts w:ascii="Times New Roman" w:hAnsi="Times New Roman" w:cs="Times New Roman"/>
          <w:sz w:val="24"/>
          <w:szCs w:val="24"/>
        </w:rPr>
        <w:t xml:space="preserve">community </w:t>
      </w:r>
      <w:r w:rsidR="00016A9A" w:rsidRPr="00E74148">
        <w:rPr>
          <w:rFonts w:ascii="Times New Roman" w:hAnsi="Times New Roman" w:cs="Times New Roman"/>
          <w:sz w:val="24"/>
          <w:szCs w:val="24"/>
        </w:rPr>
        <w:t>college</w:t>
      </w:r>
      <w:r w:rsidR="00376668">
        <w:rPr>
          <w:rFonts w:ascii="Times New Roman" w:hAnsi="Times New Roman" w:cs="Times New Roman"/>
          <w:sz w:val="24"/>
          <w:szCs w:val="24"/>
        </w:rPr>
        <w:t>s</w:t>
      </w:r>
      <w:r w:rsidR="00016A9A" w:rsidRPr="00E74148">
        <w:rPr>
          <w:rFonts w:ascii="Times New Roman" w:hAnsi="Times New Roman" w:cs="Times New Roman"/>
          <w:sz w:val="24"/>
          <w:szCs w:val="24"/>
        </w:rPr>
        <w:t xml:space="preserve"> requires</w:t>
      </w:r>
      <w:r>
        <w:rPr>
          <w:rFonts w:ascii="Times New Roman" w:hAnsi="Times New Roman" w:cs="Times New Roman"/>
          <w:sz w:val="24"/>
          <w:szCs w:val="24"/>
        </w:rPr>
        <w:t xml:space="preserve"> </w:t>
      </w:r>
      <w:r w:rsidR="003D74EE">
        <w:rPr>
          <w:rFonts w:ascii="Times New Roman" w:hAnsi="Times New Roman" w:cs="Times New Roman"/>
          <w:sz w:val="24"/>
          <w:szCs w:val="24"/>
        </w:rPr>
        <w:t>correct</w:t>
      </w:r>
      <w:r>
        <w:rPr>
          <w:rFonts w:ascii="Times New Roman" w:hAnsi="Times New Roman" w:cs="Times New Roman"/>
          <w:sz w:val="24"/>
          <w:szCs w:val="24"/>
        </w:rPr>
        <w:t>ly</w:t>
      </w:r>
      <w:r w:rsidR="005B2209">
        <w:rPr>
          <w:rFonts w:ascii="Times New Roman" w:hAnsi="Times New Roman" w:cs="Times New Roman"/>
          <w:sz w:val="24"/>
          <w:szCs w:val="24"/>
        </w:rPr>
        <w:t xml:space="preserve"> diagnosing</w:t>
      </w:r>
      <w:r w:rsidR="003D74EE">
        <w:rPr>
          <w:rFonts w:ascii="Times New Roman" w:hAnsi="Times New Roman" w:cs="Times New Roman"/>
          <w:sz w:val="24"/>
          <w:szCs w:val="24"/>
        </w:rPr>
        <w:t xml:space="preserve"> the</w:t>
      </w:r>
      <w:r w:rsidR="008B427E">
        <w:rPr>
          <w:rFonts w:ascii="Times New Roman" w:hAnsi="Times New Roman" w:cs="Times New Roman"/>
          <w:sz w:val="24"/>
          <w:szCs w:val="24"/>
        </w:rPr>
        <w:t xml:space="preserve">ir </w:t>
      </w:r>
      <w:r w:rsidR="005B2209">
        <w:rPr>
          <w:rFonts w:ascii="Times New Roman" w:hAnsi="Times New Roman" w:cs="Times New Roman"/>
          <w:sz w:val="24"/>
          <w:szCs w:val="24"/>
        </w:rPr>
        <w:t xml:space="preserve">main </w:t>
      </w:r>
      <w:r w:rsidR="008B427E">
        <w:rPr>
          <w:rFonts w:ascii="Times New Roman" w:hAnsi="Times New Roman" w:cs="Times New Roman"/>
          <w:sz w:val="24"/>
          <w:szCs w:val="24"/>
        </w:rPr>
        <w:t>flaws.</w:t>
      </w:r>
      <w:r w:rsidR="003D74EE">
        <w:rPr>
          <w:rFonts w:ascii="Times New Roman" w:hAnsi="Times New Roman" w:cs="Times New Roman"/>
          <w:sz w:val="24"/>
          <w:szCs w:val="24"/>
        </w:rPr>
        <w:t xml:space="preserve"> A</w:t>
      </w:r>
      <w:r w:rsidR="00A011F8" w:rsidRPr="00E74148">
        <w:rPr>
          <w:rFonts w:ascii="Times New Roman" w:hAnsi="Times New Roman" w:cs="Times New Roman"/>
          <w:sz w:val="24"/>
          <w:szCs w:val="24"/>
        </w:rPr>
        <w:t xml:space="preserve"> </w:t>
      </w:r>
      <w:r w:rsidR="00C268AC">
        <w:rPr>
          <w:rFonts w:ascii="Times New Roman" w:hAnsi="Times New Roman" w:cs="Times New Roman"/>
          <w:sz w:val="24"/>
          <w:szCs w:val="24"/>
        </w:rPr>
        <w:t xml:space="preserve">2013 </w:t>
      </w:r>
      <w:r w:rsidR="00A011F8" w:rsidRPr="00E74148">
        <w:rPr>
          <w:rFonts w:ascii="Times New Roman" w:hAnsi="Times New Roman" w:cs="Times New Roman"/>
          <w:sz w:val="24"/>
          <w:szCs w:val="24"/>
        </w:rPr>
        <w:t>Florida State University</w:t>
      </w:r>
      <w:r w:rsidR="003D74EE">
        <w:rPr>
          <w:rFonts w:ascii="Times New Roman" w:hAnsi="Times New Roman" w:cs="Times New Roman"/>
          <w:sz w:val="24"/>
          <w:szCs w:val="24"/>
        </w:rPr>
        <w:t xml:space="preserve"> </w:t>
      </w:r>
      <w:r w:rsidR="00076660">
        <w:rPr>
          <w:rFonts w:ascii="Times New Roman" w:hAnsi="Times New Roman" w:cs="Times New Roman"/>
          <w:sz w:val="24"/>
          <w:szCs w:val="24"/>
        </w:rPr>
        <w:t xml:space="preserve">paper </w:t>
      </w:r>
      <w:r w:rsidR="005B2209">
        <w:rPr>
          <w:rFonts w:ascii="Times New Roman" w:hAnsi="Times New Roman" w:cs="Times New Roman"/>
          <w:sz w:val="24"/>
          <w:szCs w:val="24"/>
        </w:rPr>
        <w:t xml:space="preserve">finds </w:t>
      </w:r>
      <w:r w:rsidR="00A86FA6">
        <w:rPr>
          <w:rFonts w:ascii="Times New Roman" w:hAnsi="Times New Roman" w:cs="Times New Roman"/>
          <w:sz w:val="24"/>
          <w:szCs w:val="24"/>
        </w:rPr>
        <w:t xml:space="preserve">that community </w:t>
      </w:r>
      <w:r w:rsidR="00A011F8" w:rsidRPr="00E74148">
        <w:rPr>
          <w:rFonts w:ascii="Times New Roman" w:hAnsi="Times New Roman" w:cs="Times New Roman"/>
          <w:sz w:val="24"/>
          <w:szCs w:val="24"/>
        </w:rPr>
        <w:t>college students tend to</w:t>
      </w:r>
      <w:r w:rsidR="00DB6C96">
        <w:rPr>
          <w:rFonts w:ascii="Times New Roman" w:hAnsi="Times New Roman" w:cs="Times New Roman"/>
          <w:sz w:val="24"/>
          <w:szCs w:val="24"/>
        </w:rPr>
        <w:t xml:space="preserve"> work full-time while enrolled</w:t>
      </w:r>
      <w:r w:rsidR="00A011F8" w:rsidRPr="00E74148">
        <w:rPr>
          <w:rFonts w:ascii="Times New Roman" w:hAnsi="Times New Roman" w:cs="Times New Roman"/>
          <w:sz w:val="24"/>
          <w:szCs w:val="24"/>
        </w:rPr>
        <w:t xml:space="preserve">, leaving less time </w:t>
      </w:r>
      <w:r w:rsidR="00DB6C96">
        <w:rPr>
          <w:rFonts w:ascii="Times New Roman" w:hAnsi="Times New Roman" w:cs="Times New Roman"/>
          <w:sz w:val="24"/>
          <w:szCs w:val="24"/>
        </w:rPr>
        <w:t>for schoolwork</w:t>
      </w:r>
      <w:r w:rsidR="00A011F8" w:rsidRPr="00E74148">
        <w:rPr>
          <w:rFonts w:ascii="Times New Roman" w:hAnsi="Times New Roman" w:cs="Times New Roman"/>
          <w:sz w:val="24"/>
          <w:szCs w:val="24"/>
        </w:rPr>
        <w:t>.</w:t>
      </w:r>
      <w:r w:rsidR="00A011F8" w:rsidRPr="00E74148">
        <w:rPr>
          <w:rFonts w:ascii="Times New Roman" w:hAnsi="Times New Roman" w:cs="Times New Roman"/>
          <w:sz w:val="24"/>
          <w:szCs w:val="24"/>
          <w:vertAlign w:val="superscript"/>
        </w:rPr>
        <w:footnoteReference w:id="31"/>
      </w:r>
      <w:r w:rsidR="00C268AC">
        <w:rPr>
          <w:rFonts w:ascii="Times New Roman" w:hAnsi="Times New Roman" w:cs="Times New Roman"/>
          <w:sz w:val="24"/>
          <w:szCs w:val="24"/>
        </w:rPr>
        <w:t xml:space="preserve"> </w:t>
      </w:r>
      <w:r w:rsidR="00A011F8" w:rsidRPr="00E74148">
        <w:rPr>
          <w:rFonts w:ascii="Times New Roman" w:hAnsi="Times New Roman" w:cs="Times New Roman"/>
          <w:sz w:val="24"/>
          <w:szCs w:val="24"/>
        </w:rPr>
        <w:t xml:space="preserve">Other </w:t>
      </w:r>
      <w:r w:rsidR="00722C5A">
        <w:rPr>
          <w:rFonts w:ascii="Times New Roman" w:hAnsi="Times New Roman" w:cs="Times New Roman"/>
          <w:sz w:val="24"/>
          <w:szCs w:val="24"/>
        </w:rPr>
        <w:t xml:space="preserve">studies </w:t>
      </w:r>
      <w:r w:rsidR="00DB6C96">
        <w:rPr>
          <w:rFonts w:ascii="Times New Roman" w:hAnsi="Times New Roman" w:cs="Times New Roman"/>
          <w:sz w:val="24"/>
          <w:szCs w:val="24"/>
        </w:rPr>
        <w:t xml:space="preserve">observe that </w:t>
      </w:r>
      <w:r w:rsidR="00C2679C">
        <w:rPr>
          <w:rFonts w:ascii="Times New Roman" w:hAnsi="Times New Roman" w:cs="Times New Roman"/>
          <w:sz w:val="24"/>
          <w:szCs w:val="24"/>
        </w:rPr>
        <w:t>many</w:t>
      </w:r>
      <w:r w:rsidR="00DB6C96">
        <w:rPr>
          <w:rFonts w:ascii="Times New Roman" w:hAnsi="Times New Roman" w:cs="Times New Roman"/>
          <w:sz w:val="24"/>
          <w:szCs w:val="24"/>
        </w:rPr>
        <w:t xml:space="preserve"> community college</w:t>
      </w:r>
      <w:r w:rsidR="00C2679C">
        <w:rPr>
          <w:rFonts w:ascii="Times New Roman" w:hAnsi="Times New Roman" w:cs="Times New Roman"/>
          <w:sz w:val="24"/>
          <w:szCs w:val="24"/>
        </w:rPr>
        <w:t xml:space="preserve"> </w:t>
      </w:r>
      <w:r w:rsidR="00A011F8" w:rsidRPr="00E74148">
        <w:rPr>
          <w:rFonts w:ascii="Times New Roman" w:hAnsi="Times New Roman" w:cs="Times New Roman"/>
          <w:sz w:val="24"/>
          <w:szCs w:val="24"/>
        </w:rPr>
        <w:t xml:space="preserve">students </w:t>
      </w:r>
      <w:r w:rsidR="00DB6C96">
        <w:rPr>
          <w:rFonts w:ascii="Times New Roman" w:hAnsi="Times New Roman" w:cs="Times New Roman"/>
          <w:sz w:val="24"/>
          <w:szCs w:val="24"/>
        </w:rPr>
        <w:t xml:space="preserve">are academically ill-prepared when they enroll, and note that community colleges struggle </w:t>
      </w:r>
      <w:r w:rsidR="00A011F8" w:rsidRPr="00E74148">
        <w:rPr>
          <w:rFonts w:ascii="Times New Roman" w:hAnsi="Times New Roman" w:cs="Times New Roman"/>
          <w:sz w:val="24"/>
          <w:szCs w:val="24"/>
        </w:rPr>
        <w:t xml:space="preserve">to move </w:t>
      </w:r>
      <w:r w:rsidR="00DB6C96">
        <w:rPr>
          <w:rFonts w:ascii="Times New Roman" w:hAnsi="Times New Roman" w:cs="Times New Roman"/>
          <w:sz w:val="24"/>
          <w:szCs w:val="24"/>
        </w:rPr>
        <w:t xml:space="preserve">such </w:t>
      </w:r>
      <w:r w:rsidR="00A011F8" w:rsidRPr="00E74148">
        <w:rPr>
          <w:rFonts w:ascii="Times New Roman" w:hAnsi="Times New Roman" w:cs="Times New Roman"/>
          <w:sz w:val="24"/>
          <w:szCs w:val="24"/>
        </w:rPr>
        <w:t>students out of remedial courses.</w:t>
      </w:r>
      <w:r w:rsidR="00A011F8" w:rsidRPr="00E74148">
        <w:rPr>
          <w:rFonts w:ascii="Times New Roman" w:hAnsi="Times New Roman" w:cs="Times New Roman"/>
          <w:sz w:val="24"/>
          <w:szCs w:val="24"/>
          <w:vertAlign w:val="superscript"/>
        </w:rPr>
        <w:footnoteReference w:id="32"/>
      </w:r>
      <w:r w:rsidR="00DB6C96">
        <w:rPr>
          <w:rFonts w:ascii="Times New Roman" w:hAnsi="Times New Roman" w:cs="Times New Roman"/>
          <w:sz w:val="24"/>
          <w:szCs w:val="24"/>
        </w:rPr>
        <w:t xml:space="preserve"> </w:t>
      </w:r>
    </w:p>
    <w:p w14:paraId="14CA7282" w14:textId="76D30962" w:rsidR="006D47C8" w:rsidRDefault="00C2679C" w:rsidP="00A80EA2">
      <w:pPr>
        <w:spacing w:line="240" w:lineRule="auto"/>
        <w:ind w:firstLine="720"/>
        <w:rPr>
          <w:rFonts w:ascii="Times New Roman" w:hAnsi="Times New Roman" w:cs="Times New Roman"/>
          <w:sz w:val="24"/>
          <w:szCs w:val="24"/>
        </w:rPr>
      </w:pPr>
      <w:r>
        <w:rPr>
          <w:rFonts w:ascii="Times New Roman" w:hAnsi="Times New Roman" w:cs="Times New Roman"/>
          <w:sz w:val="24"/>
          <w:szCs w:val="24"/>
        </w:rPr>
        <w:t>Another common critique holds that communi</w:t>
      </w:r>
      <w:r w:rsidR="00A011F8" w:rsidRPr="00E74148">
        <w:rPr>
          <w:rFonts w:ascii="Times New Roman" w:hAnsi="Times New Roman" w:cs="Times New Roman"/>
          <w:sz w:val="24"/>
          <w:szCs w:val="24"/>
        </w:rPr>
        <w:t>ty</w:t>
      </w:r>
      <w:r>
        <w:rPr>
          <w:rFonts w:ascii="Times New Roman" w:hAnsi="Times New Roman" w:cs="Times New Roman"/>
          <w:sz w:val="24"/>
          <w:szCs w:val="24"/>
        </w:rPr>
        <w:t xml:space="preserve"> colleges </w:t>
      </w:r>
      <w:r w:rsidR="00A011F8" w:rsidRPr="00E74148">
        <w:rPr>
          <w:rFonts w:ascii="Times New Roman" w:hAnsi="Times New Roman" w:cs="Times New Roman"/>
          <w:sz w:val="24"/>
          <w:szCs w:val="24"/>
        </w:rPr>
        <w:t>do not focus</w:t>
      </w:r>
      <w:r>
        <w:rPr>
          <w:rFonts w:ascii="Times New Roman" w:hAnsi="Times New Roman" w:cs="Times New Roman"/>
          <w:sz w:val="24"/>
          <w:szCs w:val="24"/>
        </w:rPr>
        <w:t xml:space="preserve"> </w:t>
      </w:r>
      <w:r w:rsidR="005032A3">
        <w:rPr>
          <w:rFonts w:ascii="Times New Roman" w:hAnsi="Times New Roman" w:cs="Times New Roman"/>
          <w:sz w:val="24"/>
          <w:szCs w:val="24"/>
        </w:rPr>
        <w:t xml:space="preserve">sufficiently </w:t>
      </w:r>
      <w:r>
        <w:rPr>
          <w:rFonts w:ascii="Times New Roman" w:hAnsi="Times New Roman" w:cs="Times New Roman"/>
          <w:sz w:val="24"/>
          <w:szCs w:val="24"/>
        </w:rPr>
        <w:t>on</w:t>
      </w:r>
      <w:r w:rsidR="00A011F8" w:rsidRPr="00E74148">
        <w:rPr>
          <w:rFonts w:ascii="Times New Roman" w:hAnsi="Times New Roman" w:cs="Times New Roman"/>
          <w:sz w:val="24"/>
          <w:szCs w:val="24"/>
        </w:rPr>
        <w:t xml:space="preserve"> st</w:t>
      </w:r>
      <w:r>
        <w:rPr>
          <w:rFonts w:ascii="Times New Roman" w:hAnsi="Times New Roman" w:cs="Times New Roman"/>
          <w:sz w:val="24"/>
          <w:szCs w:val="24"/>
        </w:rPr>
        <w:t>udents’</w:t>
      </w:r>
      <w:r w:rsidR="00A011F8" w:rsidRPr="00E74148">
        <w:rPr>
          <w:rFonts w:ascii="Times New Roman" w:hAnsi="Times New Roman" w:cs="Times New Roman"/>
          <w:sz w:val="24"/>
          <w:szCs w:val="24"/>
        </w:rPr>
        <w:t xml:space="preserve"> goals. </w:t>
      </w:r>
      <w:r w:rsidR="005032A3">
        <w:rPr>
          <w:rFonts w:ascii="Times New Roman" w:hAnsi="Times New Roman" w:cs="Times New Roman"/>
          <w:sz w:val="24"/>
          <w:szCs w:val="24"/>
        </w:rPr>
        <w:t>A study on New York City’</w:t>
      </w:r>
      <w:r w:rsidR="00A011F8" w:rsidRPr="00E74148">
        <w:rPr>
          <w:rFonts w:ascii="Times New Roman" w:hAnsi="Times New Roman" w:cs="Times New Roman"/>
          <w:sz w:val="24"/>
          <w:szCs w:val="24"/>
        </w:rPr>
        <w:t>s community colle</w:t>
      </w:r>
      <w:r w:rsidR="005032A3">
        <w:rPr>
          <w:rFonts w:ascii="Times New Roman" w:hAnsi="Times New Roman" w:cs="Times New Roman"/>
          <w:sz w:val="24"/>
          <w:szCs w:val="24"/>
        </w:rPr>
        <w:t>ges</w:t>
      </w:r>
      <w:r w:rsidR="00DB6C96">
        <w:rPr>
          <w:rFonts w:ascii="Times New Roman" w:hAnsi="Times New Roman" w:cs="Times New Roman"/>
          <w:sz w:val="24"/>
          <w:szCs w:val="24"/>
        </w:rPr>
        <w:t>, for example,</w:t>
      </w:r>
      <w:r w:rsidR="005032A3">
        <w:rPr>
          <w:rFonts w:ascii="Times New Roman" w:hAnsi="Times New Roman" w:cs="Times New Roman"/>
          <w:sz w:val="24"/>
          <w:szCs w:val="24"/>
        </w:rPr>
        <w:t xml:space="preserve"> noted that students easily “get lost,” and worse, “</w:t>
      </w:r>
      <w:r w:rsidR="00A011F8" w:rsidRPr="00E74148">
        <w:rPr>
          <w:rFonts w:ascii="Times New Roman" w:hAnsi="Times New Roman" w:cs="Times New Roman"/>
          <w:sz w:val="24"/>
          <w:szCs w:val="24"/>
        </w:rPr>
        <w:t>take too long to decla</w:t>
      </w:r>
      <w:r w:rsidR="005032A3">
        <w:rPr>
          <w:rFonts w:ascii="Times New Roman" w:hAnsi="Times New Roman" w:cs="Times New Roman"/>
          <w:sz w:val="24"/>
          <w:szCs w:val="24"/>
        </w:rPr>
        <w:t>re a major or program of study.”</w:t>
      </w:r>
      <w:r w:rsidR="00A011F8" w:rsidRPr="00E74148">
        <w:rPr>
          <w:rFonts w:ascii="Times New Roman" w:hAnsi="Times New Roman" w:cs="Times New Roman"/>
          <w:sz w:val="24"/>
          <w:szCs w:val="24"/>
          <w:vertAlign w:val="superscript"/>
        </w:rPr>
        <w:footnoteReference w:id="33"/>
      </w:r>
      <w:r w:rsidR="00A011F8" w:rsidRPr="00E74148">
        <w:rPr>
          <w:rFonts w:ascii="Times New Roman" w:hAnsi="Times New Roman" w:cs="Times New Roman"/>
          <w:sz w:val="24"/>
          <w:szCs w:val="24"/>
        </w:rPr>
        <w:t xml:space="preserve"> This delay leads students to stay in school longer than</w:t>
      </w:r>
      <w:r w:rsidR="005032A3">
        <w:rPr>
          <w:rFonts w:ascii="Times New Roman" w:hAnsi="Times New Roman" w:cs="Times New Roman"/>
          <w:sz w:val="24"/>
          <w:szCs w:val="24"/>
        </w:rPr>
        <w:t xml:space="preserve"> necessary</w:t>
      </w:r>
      <w:r w:rsidR="00DB6C96">
        <w:rPr>
          <w:rFonts w:ascii="Times New Roman" w:hAnsi="Times New Roman" w:cs="Times New Roman"/>
          <w:sz w:val="24"/>
          <w:szCs w:val="24"/>
        </w:rPr>
        <w:t>.</w:t>
      </w:r>
    </w:p>
    <w:p w14:paraId="2A04A121" w14:textId="77777777" w:rsidR="00B34BE5" w:rsidRDefault="005032A3" w:rsidP="006D47C8">
      <w:pPr>
        <w:spacing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DB6C96">
        <w:rPr>
          <w:rFonts w:ascii="Times New Roman" w:hAnsi="Times New Roman" w:cs="Times New Roman"/>
          <w:sz w:val="24"/>
          <w:szCs w:val="24"/>
        </w:rPr>
        <w:t xml:space="preserve"> </w:t>
      </w:r>
      <w:r>
        <w:rPr>
          <w:rFonts w:ascii="Times New Roman" w:hAnsi="Times New Roman" w:cs="Times New Roman"/>
          <w:sz w:val="24"/>
          <w:szCs w:val="24"/>
        </w:rPr>
        <w:t>study on California’</w:t>
      </w:r>
      <w:r w:rsidR="00A011F8" w:rsidRPr="00E74148">
        <w:rPr>
          <w:rFonts w:ascii="Times New Roman" w:hAnsi="Times New Roman" w:cs="Times New Roman"/>
          <w:sz w:val="24"/>
          <w:szCs w:val="24"/>
        </w:rPr>
        <w:t xml:space="preserve">s community colleges </w:t>
      </w:r>
      <w:r w:rsidR="00DB6C96">
        <w:rPr>
          <w:rFonts w:ascii="Times New Roman" w:hAnsi="Times New Roman" w:cs="Times New Roman"/>
          <w:sz w:val="24"/>
          <w:szCs w:val="24"/>
        </w:rPr>
        <w:t xml:space="preserve">found </w:t>
      </w:r>
      <w:r w:rsidR="00A011F8" w:rsidRPr="00E74148">
        <w:rPr>
          <w:rFonts w:ascii="Times New Roman" w:hAnsi="Times New Roman" w:cs="Times New Roman"/>
          <w:sz w:val="24"/>
          <w:szCs w:val="24"/>
        </w:rPr>
        <w:t>that</w:t>
      </w:r>
      <w:r w:rsidR="00DB6C96">
        <w:rPr>
          <w:rFonts w:ascii="Times New Roman" w:hAnsi="Times New Roman" w:cs="Times New Roman"/>
          <w:sz w:val="24"/>
          <w:szCs w:val="24"/>
        </w:rPr>
        <w:t xml:space="preserve"> students are more successful when</w:t>
      </w:r>
      <w:r w:rsidR="00A011F8" w:rsidRPr="00E74148">
        <w:rPr>
          <w:rFonts w:ascii="Times New Roman" w:hAnsi="Times New Roman" w:cs="Times New Roman"/>
          <w:sz w:val="24"/>
          <w:szCs w:val="24"/>
        </w:rPr>
        <w:t xml:space="preserve"> they obtain a large number of credits in their first year, stick with their courses, and continue obtaining credits during the summer.</w:t>
      </w:r>
      <w:r w:rsidR="00A011F8" w:rsidRPr="00E74148">
        <w:rPr>
          <w:rFonts w:ascii="Times New Roman" w:hAnsi="Times New Roman" w:cs="Times New Roman"/>
          <w:sz w:val="24"/>
          <w:szCs w:val="24"/>
          <w:vertAlign w:val="superscript"/>
        </w:rPr>
        <w:footnoteReference w:id="34"/>
      </w:r>
      <w:r w:rsidR="00A011F8" w:rsidRPr="00E74148">
        <w:rPr>
          <w:rFonts w:ascii="Times New Roman" w:hAnsi="Times New Roman" w:cs="Times New Roman"/>
          <w:sz w:val="24"/>
          <w:szCs w:val="24"/>
        </w:rPr>
        <w:t xml:space="preserve"> </w:t>
      </w:r>
      <w:r w:rsidR="001C7918">
        <w:rPr>
          <w:rFonts w:ascii="Times New Roman" w:hAnsi="Times New Roman" w:cs="Times New Roman"/>
          <w:sz w:val="24"/>
          <w:szCs w:val="24"/>
        </w:rPr>
        <w:t xml:space="preserve">To graduate more students, the study concludes, community colleges must do a better job of encouraging students </w:t>
      </w:r>
      <w:r w:rsidR="00A011F8" w:rsidRPr="00E74148">
        <w:rPr>
          <w:rFonts w:ascii="Times New Roman" w:hAnsi="Times New Roman" w:cs="Times New Roman"/>
          <w:sz w:val="24"/>
          <w:szCs w:val="24"/>
        </w:rPr>
        <w:t>to stay on track</w:t>
      </w:r>
      <w:r w:rsidR="001C7918">
        <w:rPr>
          <w:rFonts w:ascii="Times New Roman" w:hAnsi="Times New Roman" w:cs="Times New Roman"/>
          <w:sz w:val="24"/>
          <w:szCs w:val="24"/>
        </w:rPr>
        <w:t>.</w:t>
      </w:r>
    </w:p>
    <w:p w14:paraId="359792DC" w14:textId="067F055C" w:rsidR="00A011F8" w:rsidRPr="00E74148" w:rsidRDefault="00E66314" w:rsidP="006D47C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wide gap in graduation rates between community colleges that offer general education (26 percent) and those that </w:t>
      </w:r>
      <w:r w:rsidR="006D47C8">
        <w:rPr>
          <w:rFonts w:ascii="Times New Roman" w:hAnsi="Times New Roman" w:cs="Times New Roman"/>
          <w:sz w:val="24"/>
          <w:szCs w:val="24"/>
        </w:rPr>
        <w:t xml:space="preserve">offer </w:t>
      </w:r>
      <w:r>
        <w:rPr>
          <w:rFonts w:ascii="Times New Roman" w:hAnsi="Times New Roman" w:cs="Times New Roman"/>
          <w:sz w:val="24"/>
          <w:szCs w:val="24"/>
        </w:rPr>
        <w:t>focused vocation</w:t>
      </w:r>
      <w:r w:rsidR="006D47C8">
        <w:rPr>
          <w:rFonts w:ascii="Times New Roman" w:hAnsi="Times New Roman" w:cs="Times New Roman"/>
          <w:sz w:val="24"/>
          <w:szCs w:val="24"/>
        </w:rPr>
        <w:t>al</w:t>
      </w:r>
      <w:r>
        <w:rPr>
          <w:rFonts w:ascii="Times New Roman" w:hAnsi="Times New Roman" w:cs="Times New Roman"/>
          <w:sz w:val="24"/>
          <w:szCs w:val="24"/>
        </w:rPr>
        <w:t xml:space="preserve"> training (54 percent) support</w:t>
      </w:r>
      <w:r w:rsidR="00DB6C96">
        <w:rPr>
          <w:rFonts w:ascii="Times New Roman" w:hAnsi="Times New Roman" w:cs="Times New Roman"/>
          <w:sz w:val="24"/>
          <w:szCs w:val="24"/>
        </w:rPr>
        <w:t>s</w:t>
      </w:r>
      <w:r>
        <w:rPr>
          <w:rFonts w:ascii="Times New Roman" w:hAnsi="Times New Roman" w:cs="Times New Roman"/>
          <w:sz w:val="24"/>
          <w:szCs w:val="24"/>
        </w:rPr>
        <w:t xml:space="preserve"> </w:t>
      </w:r>
      <w:r w:rsidR="00DB6C96">
        <w:rPr>
          <w:rFonts w:ascii="Times New Roman" w:hAnsi="Times New Roman" w:cs="Times New Roman"/>
          <w:sz w:val="24"/>
          <w:szCs w:val="24"/>
        </w:rPr>
        <w:t xml:space="preserve">this </w:t>
      </w:r>
      <w:r>
        <w:rPr>
          <w:rFonts w:ascii="Times New Roman" w:hAnsi="Times New Roman" w:cs="Times New Roman"/>
          <w:sz w:val="24"/>
          <w:szCs w:val="24"/>
        </w:rPr>
        <w:t>assertion</w:t>
      </w:r>
      <w:r w:rsidR="00D8258B">
        <w:rPr>
          <w:rFonts w:ascii="Times New Roman" w:hAnsi="Times New Roman" w:cs="Times New Roman"/>
          <w:sz w:val="24"/>
          <w:szCs w:val="24"/>
        </w:rPr>
        <w:t xml:space="preserve"> (</w:t>
      </w:r>
      <w:r w:rsidR="00D8258B" w:rsidRPr="00D8258B">
        <w:rPr>
          <w:rFonts w:ascii="Times New Roman" w:hAnsi="Times New Roman" w:cs="Times New Roman"/>
          <w:b/>
          <w:sz w:val="24"/>
          <w:szCs w:val="24"/>
        </w:rPr>
        <w:t xml:space="preserve">Figure </w:t>
      </w:r>
      <w:r w:rsidR="00D8258B" w:rsidRPr="00504B74">
        <w:rPr>
          <w:rFonts w:ascii="Times New Roman" w:hAnsi="Times New Roman" w:cs="Times New Roman"/>
          <w:b/>
          <w:sz w:val="24"/>
          <w:szCs w:val="24"/>
        </w:rPr>
        <w:t>5</w:t>
      </w:r>
      <w:r w:rsidR="00D8258B">
        <w:rPr>
          <w:rFonts w:ascii="Times New Roman" w:hAnsi="Times New Roman" w:cs="Times New Roman"/>
          <w:sz w:val="24"/>
          <w:szCs w:val="24"/>
        </w:rPr>
        <w:t>)</w:t>
      </w:r>
      <w:r>
        <w:rPr>
          <w:rFonts w:ascii="Times New Roman" w:hAnsi="Times New Roman" w:cs="Times New Roman"/>
          <w:sz w:val="24"/>
          <w:szCs w:val="24"/>
        </w:rPr>
        <w:t>.</w:t>
      </w:r>
      <w:r w:rsidR="00A011F8" w:rsidRPr="00E74148">
        <w:rPr>
          <w:rFonts w:ascii="Times New Roman" w:hAnsi="Times New Roman" w:cs="Times New Roman"/>
          <w:sz w:val="24"/>
          <w:szCs w:val="24"/>
          <w:vertAlign w:val="superscript"/>
        </w:rPr>
        <w:footnoteReference w:id="35"/>
      </w:r>
      <w:r w:rsidR="00B34BE5">
        <w:rPr>
          <w:rFonts w:ascii="Times New Roman" w:hAnsi="Times New Roman" w:cs="Times New Roman"/>
          <w:sz w:val="24"/>
          <w:szCs w:val="24"/>
        </w:rPr>
        <w:t xml:space="preserve"> Dave Jarrett of InsideTrack, a firm</w:t>
      </w:r>
      <w:r w:rsidR="00B34BE5" w:rsidRPr="00E74148">
        <w:rPr>
          <w:rFonts w:ascii="Times New Roman" w:hAnsi="Times New Roman" w:cs="Times New Roman"/>
          <w:sz w:val="24"/>
          <w:szCs w:val="24"/>
        </w:rPr>
        <w:t xml:space="preserve"> that helps colleges boost enrollment and</w:t>
      </w:r>
      <w:r w:rsidR="00B34BE5">
        <w:rPr>
          <w:rFonts w:ascii="Times New Roman" w:hAnsi="Times New Roman" w:cs="Times New Roman"/>
          <w:sz w:val="24"/>
          <w:szCs w:val="24"/>
        </w:rPr>
        <w:t xml:space="preserve"> graduation rates</w:t>
      </w:r>
      <w:r w:rsidR="00B34BE5" w:rsidRPr="00E74148">
        <w:rPr>
          <w:rFonts w:ascii="Times New Roman" w:hAnsi="Times New Roman" w:cs="Times New Roman"/>
          <w:sz w:val="24"/>
          <w:szCs w:val="24"/>
        </w:rPr>
        <w:t>,</w:t>
      </w:r>
      <w:r w:rsidR="009246EE">
        <w:rPr>
          <w:rFonts w:ascii="Times New Roman" w:hAnsi="Times New Roman" w:cs="Times New Roman"/>
          <w:sz w:val="24"/>
          <w:szCs w:val="24"/>
        </w:rPr>
        <w:t xml:space="preserve"> succinctly states the problem: </w:t>
      </w:r>
      <w:r w:rsidR="00B34BE5" w:rsidRPr="00E74148">
        <w:rPr>
          <w:rFonts w:ascii="Times New Roman" w:hAnsi="Times New Roman" w:cs="Times New Roman"/>
          <w:sz w:val="24"/>
          <w:szCs w:val="24"/>
        </w:rPr>
        <w:t>community colleges pla</w:t>
      </w:r>
      <w:r w:rsidR="00B34BE5">
        <w:rPr>
          <w:rFonts w:ascii="Times New Roman" w:hAnsi="Times New Roman" w:cs="Times New Roman"/>
          <w:sz w:val="24"/>
          <w:szCs w:val="24"/>
        </w:rPr>
        <w:t>ce greater emphasis on being “[</w:t>
      </w:r>
      <w:r w:rsidR="00B34BE5" w:rsidRPr="00E74148">
        <w:rPr>
          <w:rFonts w:ascii="Times New Roman" w:hAnsi="Times New Roman" w:cs="Times New Roman"/>
          <w:sz w:val="24"/>
          <w:szCs w:val="24"/>
        </w:rPr>
        <w:t>place</w:t>
      </w:r>
      <w:r w:rsidR="00B34BE5">
        <w:rPr>
          <w:rFonts w:ascii="Times New Roman" w:hAnsi="Times New Roman" w:cs="Times New Roman"/>
          <w:sz w:val="24"/>
          <w:szCs w:val="24"/>
        </w:rPr>
        <w:t>s]</w:t>
      </w:r>
      <w:r w:rsidR="00B34BE5" w:rsidRPr="00E74148">
        <w:rPr>
          <w:rFonts w:ascii="Times New Roman" w:hAnsi="Times New Roman" w:cs="Times New Roman"/>
          <w:sz w:val="24"/>
          <w:szCs w:val="24"/>
        </w:rPr>
        <w:t xml:space="preserve"> of learnin</w:t>
      </w:r>
      <w:r w:rsidR="00B34BE5">
        <w:rPr>
          <w:rFonts w:ascii="Times New Roman" w:hAnsi="Times New Roman" w:cs="Times New Roman"/>
          <w:sz w:val="24"/>
          <w:szCs w:val="24"/>
        </w:rPr>
        <w:t>g for all citizens of the state”</w:t>
      </w:r>
      <w:r w:rsidR="00B34BE5" w:rsidRPr="00E74148">
        <w:rPr>
          <w:rFonts w:ascii="Times New Roman" w:hAnsi="Times New Roman" w:cs="Times New Roman"/>
          <w:sz w:val="24"/>
          <w:szCs w:val="24"/>
        </w:rPr>
        <w:t xml:space="preserve"> than </w:t>
      </w:r>
      <w:r w:rsidR="00B34BE5">
        <w:rPr>
          <w:rFonts w:ascii="Times New Roman" w:hAnsi="Times New Roman" w:cs="Times New Roman"/>
          <w:sz w:val="24"/>
          <w:szCs w:val="24"/>
        </w:rPr>
        <w:t xml:space="preserve">on </w:t>
      </w:r>
      <w:r w:rsidR="00B34BE5" w:rsidRPr="00E74148">
        <w:rPr>
          <w:rFonts w:ascii="Times New Roman" w:hAnsi="Times New Roman" w:cs="Times New Roman"/>
          <w:sz w:val="24"/>
          <w:szCs w:val="24"/>
        </w:rPr>
        <w:t>“producing associate’s degree graduates.”</w:t>
      </w:r>
      <w:r w:rsidR="00B34BE5" w:rsidRPr="00E74148">
        <w:rPr>
          <w:rFonts w:ascii="Times New Roman" w:hAnsi="Times New Roman" w:cs="Times New Roman"/>
          <w:sz w:val="24"/>
          <w:szCs w:val="24"/>
          <w:vertAlign w:val="superscript"/>
        </w:rPr>
        <w:footnoteReference w:id="36"/>
      </w:r>
      <w:r w:rsidR="00B34BE5" w:rsidRPr="00E74148">
        <w:rPr>
          <w:rFonts w:ascii="Times New Roman" w:hAnsi="Times New Roman" w:cs="Times New Roman"/>
          <w:sz w:val="24"/>
          <w:szCs w:val="24"/>
        </w:rPr>
        <w:t xml:space="preserve"> </w:t>
      </w:r>
      <w:r w:rsidR="00B34BE5">
        <w:rPr>
          <w:rFonts w:ascii="Times New Roman" w:hAnsi="Times New Roman" w:cs="Times New Roman"/>
          <w:sz w:val="24"/>
          <w:szCs w:val="24"/>
        </w:rPr>
        <w:t xml:space="preserve">If </w:t>
      </w:r>
      <w:r w:rsidR="009246EE">
        <w:rPr>
          <w:rFonts w:ascii="Times New Roman" w:hAnsi="Times New Roman" w:cs="Times New Roman"/>
          <w:sz w:val="24"/>
          <w:szCs w:val="24"/>
        </w:rPr>
        <w:t xml:space="preserve">U.S. </w:t>
      </w:r>
      <w:r w:rsidR="00B34BE5" w:rsidRPr="00E74148">
        <w:rPr>
          <w:rFonts w:ascii="Times New Roman" w:hAnsi="Times New Roman" w:cs="Times New Roman"/>
          <w:sz w:val="24"/>
          <w:szCs w:val="24"/>
        </w:rPr>
        <w:t>community colleges</w:t>
      </w:r>
      <w:r w:rsidR="00B34BE5">
        <w:rPr>
          <w:rFonts w:ascii="Times New Roman" w:hAnsi="Times New Roman" w:cs="Times New Roman"/>
          <w:sz w:val="24"/>
          <w:szCs w:val="24"/>
        </w:rPr>
        <w:t xml:space="preserve"> are </w:t>
      </w:r>
      <w:r w:rsidR="007830E8">
        <w:rPr>
          <w:rFonts w:ascii="Times New Roman" w:hAnsi="Times New Roman" w:cs="Times New Roman"/>
          <w:sz w:val="24"/>
          <w:szCs w:val="24"/>
        </w:rPr>
        <w:t xml:space="preserve">thus </w:t>
      </w:r>
      <w:r w:rsidR="00B34BE5">
        <w:rPr>
          <w:rFonts w:ascii="Times New Roman" w:hAnsi="Times New Roman" w:cs="Times New Roman"/>
          <w:sz w:val="24"/>
          <w:szCs w:val="24"/>
        </w:rPr>
        <w:t xml:space="preserve">to achieve better outcomes, they </w:t>
      </w:r>
      <w:r w:rsidR="007830E8">
        <w:rPr>
          <w:rFonts w:ascii="Times New Roman" w:hAnsi="Times New Roman" w:cs="Times New Roman"/>
          <w:sz w:val="24"/>
          <w:szCs w:val="24"/>
        </w:rPr>
        <w:t xml:space="preserve">must </w:t>
      </w:r>
      <w:r w:rsidR="00B34BE5">
        <w:rPr>
          <w:rFonts w:ascii="Times New Roman" w:hAnsi="Times New Roman" w:cs="Times New Roman"/>
          <w:sz w:val="24"/>
          <w:szCs w:val="24"/>
        </w:rPr>
        <w:t xml:space="preserve">refocus their energy away from </w:t>
      </w:r>
      <w:r w:rsidR="009246EE">
        <w:rPr>
          <w:rFonts w:ascii="Times New Roman" w:hAnsi="Times New Roman" w:cs="Times New Roman"/>
          <w:sz w:val="24"/>
          <w:szCs w:val="24"/>
        </w:rPr>
        <w:t xml:space="preserve">grand dreams of </w:t>
      </w:r>
      <w:r w:rsidR="00B34BE5">
        <w:rPr>
          <w:rFonts w:ascii="Times New Roman" w:hAnsi="Times New Roman" w:cs="Times New Roman"/>
          <w:sz w:val="24"/>
          <w:szCs w:val="24"/>
        </w:rPr>
        <w:t xml:space="preserve">establishing Socratic agora and toward the more mundane task of </w:t>
      </w:r>
      <w:r w:rsidR="00B34BE5" w:rsidRPr="00E74148">
        <w:rPr>
          <w:rFonts w:ascii="Times New Roman" w:hAnsi="Times New Roman" w:cs="Times New Roman"/>
          <w:sz w:val="24"/>
          <w:szCs w:val="24"/>
        </w:rPr>
        <w:t>shepherd</w:t>
      </w:r>
      <w:r w:rsidR="00B34BE5">
        <w:rPr>
          <w:rFonts w:ascii="Times New Roman" w:hAnsi="Times New Roman" w:cs="Times New Roman"/>
          <w:sz w:val="24"/>
          <w:szCs w:val="24"/>
        </w:rPr>
        <w:t>ing</w:t>
      </w:r>
      <w:r w:rsidR="00B34BE5" w:rsidRPr="00E74148">
        <w:rPr>
          <w:rFonts w:ascii="Times New Roman" w:hAnsi="Times New Roman" w:cs="Times New Roman"/>
          <w:sz w:val="24"/>
          <w:szCs w:val="24"/>
        </w:rPr>
        <w:t xml:space="preserve"> students to</w:t>
      </w:r>
      <w:r w:rsidR="00B34BE5">
        <w:rPr>
          <w:rFonts w:ascii="Times New Roman" w:hAnsi="Times New Roman" w:cs="Times New Roman"/>
          <w:sz w:val="24"/>
          <w:szCs w:val="24"/>
        </w:rPr>
        <w:t xml:space="preserve"> graduation.</w:t>
      </w:r>
    </w:p>
    <w:p w14:paraId="12E9CD27" w14:textId="77777777" w:rsidR="00A011F8" w:rsidRDefault="00A011F8" w:rsidP="00E74148">
      <w:pPr>
        <w:spacing w:line="240" w:lineRule="auto"/>
        <w:rPr>
          <w:rFonts w:ascii="Times New Roman" w:hAnsi="Times New Roman" w:cs="Times New Roman"/>
          <w:sz w:val="24"/>
          <w:szCs w:val="24"/>
        </w:rPr>
      </w:pPr>
    </w:p>
    <w:p w14:paraId="2E7012BB" w14:textId="2D9FA85C" w:rsidR="00504B74" w:rsidRPr="00504B74" w:rsidRDefault="00504B74" w:rsidP="00504B74">
      <w:pPr>
        <w:spacing w:line="240" w:lineRule="auto"/>
        <w:jc w:val="center"/>
        <w:rPr>
          <w:rFonts w:ascii="Times New Roman" w:hAnsi="Times New Roman" w:cs="Times New Roman"/>
          <w:b/>
          <w:sz w:val="24"/>
          <w:szCs w:val="24"/>
        </w:rPr>
      </w:pPr>
      <w:r w:rsidRPr="00504B74">
        <w:rPr>
          <w:rFonts w:ascii="Times New Roman" w:hAnsi="Times New Roman" w:cs="Times New Roman"/>
          <w:b/>
          <w:sz w:val="24"/>
          <w:szCs w:val="24"/>
        </w:rPr>
        <w:t xml:space="preserve">Figure 5. Six-Year Graduation Rates, </w:t>
      </w:r>
      <w:r w:rsidR="008E6507">
        <w:rPr>
          <w:rFonts w:ascii="Times New Roman" w:hAnsi="Times New Roman" w:cs="Times New Roman"/>
          <w:b/>
          <w:sz w:val="24"/>
          <w:szCs w:val="24"/>
        </w:rPr>
        <w:t>2012–</w:t>
      </w:r>
      <w:commentRangeStart w:id="1"/>
      <w:r w:rsidRPr="00504B74">
        <w:rPr>
          <w:rFonts w:ascii="Times New Roman" w:hAnsi="Times New Roman" w:cs="Times New Roman"/>
          <w:b/>
          <w:sz w:val="24"/>
          <w:szCs w:val="24"/>
        </w:rPr>
        <w:t>13</w:t>
      </w:r>
      <w:commentRangeEnd w:id="1"/>
      <w:r w:rsidR="008E6507">
        <w:rPr>
          <w:rStyle w:val="CommentReference"/>
        </w:rPr>
        <w:commentReference w:id="1"/>
      </w:r>
    </w:p>
    <w:p w14:paraId="1C8B674D" w14:textId="77777777" w:rsidR="00A011F8" w:rsidRDefault="00A011F8" w:rsidP="00E74148">
      <w:pPr>
        <w:spacing w:line="240" w:lineRule="auto"/>
        <w:jc w:val="center"/>
        <w:rPr>
          <w:rFonts w:ascii="Times New Roman" w:hAnsi="Times New Roman" w:cs="Times New Roman"/>
          <w:sz w:val="24"/>
          <w:szCs w:val="24"/>
        </w:rPr>
      </w:pPr>
      <w:r w:rsidRPr="00E74148">
        <w:rPr>
          <w:rFonts w:ascii="Times New Roman" w:hAnsi="Times New Roman" w:cs="Times New Roman"/>
          <w:noProof/>
          <w:sz w:val="24"/>
          <w:szCs w:val="24"/>
        </w:rPr>
        <w:drawing>
          <wp:inline distT="114300" distB="114300" distL="114300" distR="114300" wp14:anchorId="785644ED" wp14:editId="2E305057">
            <wp:extent cx="4533900" cy="2656751"/>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cstate="print"/>
                    <a:srcRect/>
                    <a:stretch>
                      <a:fillRect/>
                    </a:stretch>
                  </pic:blipFill>
                  <pic:spPr>
                    <a:xfrm>
                      <a:off x="0" y="0"/>
                      <a:ext cx="4545587" cy="2663599"/>
                    </a:xfrm>
                    <a:prstGeom prst="rect">
                      <a:avLst/>
                    </a:prstGeom>
                    <a:ln/>
                  </pic:spPr>
                </pic:pic>
              </a:graphicData>
            </a:graphic>
          </wp:inline>
        </w:drawing>
      </w:r>
    </w:p>
    <w:p w14:paraId="2B06C6DF" w14:textId="77777777" w:rsidR="00504B74" w:rsidRPr="00504B74" w:rsidRDefault="00504B74" w:rsidP="004676E1">
      <w:pPr>
        <w:pStyle w:val="Heading3"/>
        <w:shd w:val="clear" w:color="auto" w:fill="FFFFFF"/>
        <w:spacing w:before="0" w:line="240" w:lineRule="auto"/>
        <w:jc w:val="center"/>
        <w:rPr>
          <w:rFonts w:ascii="Times New Roman" w:eastAsia="Times New Roman" w:hAnsi="Times New Roman" w:cs="Times New Roman"/>
          <w:b w:val="0"/>
          <w:bCs w:val="0"/>
          <w:color w:val="auto"/>
          <w:sz w:val="20"/>
        </w:rPr>
      </w:pPr>
      <w:r w:rsidRPr="00504B74">
        <w:rPr>
          <w:rFonts w:ascii="Times New Roman" w:hAnsi="Times New Roman" w:cs="Times New Roman"/>
          <w:b w:val="0"/>
          <w:color w:val="auto"/>
          <w:sz w:val="20"/>
        </w:rPr>
        <w:t xml:space="preserve">Source: </w:t>
      </w:r>
      <w:hyperlink r:id="rId16" w:history="1">
        <w:r w:rsidRPr="00504B74">
          <w:rPr>
            <w:rFonts w:ascii="Times New Roman" w:eastAsia="Times New Roman" w:hAnsi="Times New Roman" w:cs="Times New Roman"/>
            <w:b w:val="0"/>
            <w:bCs w:val="0"/>
            <w:color w:val="auto"/>
            <w:sz w:val="20"/>
          </w:rPr>
          <w:t>Integrated Postsecondary Education Data System</w:t>
        </w:r>
      </w:hyperlink>
    </w:p>
    <w:p w14:paraId="56B8902B" w14:textId="77777777" w:rsidR="0050715C" w:rsidRDefault="0050715C" w:rsidP="004676E1">
      <w:pPr>
        <w:spacing w:line="240" w:lineRule="auto"/>
        <w:rPr>
          <w:rFonts w:ascii="Times New Roman" w:hAnsi="Times New Roman" w:cs="Times New Roman"/>
          <w:sz w:val="24"/>
          <w:szCs w:val="24"/>
        </w:rPr>
      </w:pPr>
    </w:p>
    <w:p w14:paraId="017FA967" w14:textId="6C5ADF9F" w:rsidR="0050715C" w:rsidRPr="004676E1" w:rsidRDefault="004676E1" w:rsidP="004676E1">
      <w:pPr>
        <w:spacing w:line="240" w:lineRule="auto"/>
        <w:rPr>
          <w:rFonts w:ascii="Times New Roman" w:hAnsi="Times New Roman" w:cs="Times New Roman"/>
          <w:sz w:val="24"/>
          <w:szCs w:val="24"/>
        </w:rPr>
      </w:pPr>
      <w:r w:rsidRPr="003D74EE">
        <w:rPr>
          <w:rFonts w:ascii="Times New Roman" w:hAnsi="Times New Roman" w:cs="Times New Roman"/>
          <w:b/>
          <w:sz w:val="24"/>
          <w:szCs w:val="24"/>
        </w:rPr>
        <w:t xml:space="preserve">V. </w:t>
      </w:r>
      <w:r>
        <w:rPr>
          <w:rFonts w:ascii="Times New Roman" w:hAnsi="Times New Roman" w:cs="Times New Roman"/>
          <w:b/>
          <w:sz w:val="24"/>
          <w:szCs w:val="24"/>
        </w:rPr>
        <w:t>Addressing Poor Performance</w:t>
      </w:r>
    </w:p>
    <w:p w14:paraId="19D61B66" w14:textId="0DF18AFB" w:rsidR="00974354" w:rsidRDefault="0050715C" w:rsidP="00974354">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author interviewed </w:t>
      </w:r>
      <w:r w:rsidR="002E6526" w:rsidRPr="00E74148">
        <w:rPr>
          <w:rFonts w:ascii="Times New Roman" w:hAnsi="Times New Roman" w:cs="Times New Roman"/>
          <w:sz w:val="24"/>
          <w:szCs w:val="24"/>
        </w:rPr>
        <w:t xml:space="preserve">administrators at </w:t>
      </w:r>
      <w:r>
        <w:rPr>
          <w:rFonts w:ascii="Times New Roman" w:hAnsi="Times New Roman" w:cs="Times New Roman"/>
          <w:sz w:val="24"/>
          <w:szCs w:val="24"/>
        </w:rPr>
        <w:t xml:space="preserve">multiple </w:t>
      </w:r>
      <w:r w:rsidR="002E6526" w:rsidRPr="00E74148">
        <w:rPr>
          <w:rFonts w:ascii="Times New Roman" w:hAnsi="Times New Roman" w:cs="Times New Roman"/>
          <w:sz w:val="24"/>
          <w:szCs w:val="24"/>
        </w:rPr>
        <w:t xml:space="preserve">top-performing </w:t>
      </w:r>
      <w:r>
        <w:rPr>
          <w:rFonts w:ascii="Times New Roman" w:hAnsi="Times New Roman" w:cs="Times New Roman"/>
          <w:sz w:val="24"/>
          <w:szCs w:val="24"/>
        </w:rPr>
        <w:t xml:space="preserve">U.S. </w:t>
      </w:r>
      <w:r w:rsidR="002E6526" w:rsidRPr="00E74148">
        <w:rPr>
          <w:rFonts w:ascii="Times New Roman" w:hAnsi="Times New Roman" w:cs="Times New Roman"/>
          <w:sz w:val="24"/>
          <w:szCs w:val="24"/>
        </w:rPr>
        <w:t>community colleges</w:t>
      </w:r>
      <w:r>
        <w:rPr>
          <w:rFonts w:ascii="Times New Roman" w:hAnsi="Times New Roman" w:cs="Times New Roman"/>
          <w:sz w:val="24"/>
          <w:szCs w:val="24"/>
        </w:rPr>
        <w:t xml:space="preserve">. </w:t>
      </w:r>
      <w:r w:rsidR="00E55A5F">
        <w:rPr>
          <w:rFonts w:ascii="Times New Roman" w:hAnsi="Times New Roman" w:cs="Times New Roman"/>
          <w:sz w:val="24"/>
          <w:szCs w:val="24"/>
        </w:rPr>
        <w:t xml:space="preserve">The key takeaway: </w:t>
      </w:r>
      <w:r>
        <w:rPr>
          <w:rFonts w:ascii="Times New Roman" w:hAnsi="Times New Roman" w:cs="Times New Roman"/>
          <w:sz w:val="24"/>
          <w:szCs w:val="24"/>
        </w:rPr>
        <w:t xml:space="preserve">active involvement </w:t>
      </w:r>
      <w:r w:rsidR="00E55A5F">
        <w:rPr>
          <w:rFonts w:ascii="Times New Roman" w:hAnsi="Times New Roman" w:cs="Times New Roman"/>
          <w:sz w:val="24"/>
          <w:szCs w:val="24"/>
        </w:rPr>
        <w:t xml:space="preserve">in students’ progress is essential to </w:t>
      </w:r>
      <w:r w:rsidR="00C369F1">
        <w:rPr>
          <w:rFonts w:ascii="Times New Roman" w:hAnsi="Times New Roman" w:cs="Times New Roman"/>
          <w:sz w:val="24"/>
          <w:szCs w:val="24"/>
        </w:rPr>
        <w:t>success.</w:t>
      </w:r>
      <w:r w:rsidR="00974354">
        <w:rPr>
          <w:rFonts w:ascii="Times New Roman" w:hAnsi="Times New Roman" w:cs="Times New Roman"/>
          <w:sz w:val="24"/>
          <w:szCs w:val="24"/>
        </w:rPr>
        <w:t xml:space="preserve"> </w:t>
      </w:r>
      <w:r w:rsidR="002E6526" w:rsidRPr="00E74148">
        <w:rPr>
          <w:rFonts w:ascii="Times New Roman" w:hAnsi="Times New Roman" w:cs="Times New Roman"/>
          <w:sz w:val="24"/>
          <w:szCs w:val="24"/>
        </w:rPr>
        <w:t>At Pamlico College in No</w:t>
      </w:r>
      <w:r>
        <w:rPr>
          <w:rFonts w:ascii="Times New Roman" w:hAnsi="Times New Roman" w:cs="Times New Roman"/>
          <w:sz w:val="24"/>
          <w:szCs w:val="24"/>
        </w:rPr>
        <w:t>rth Carolina, which boasts a 78 percent</w:t>
      </w:r>
      <w:r w:rsidR="002E6526" w:rsidRPr="00E74148">
        <w:rPr>
          <w:rFonts w:ascii="Times New Roman" w:hAnsi="Times New Roman" w:cs="Times New Roman"/>
          <w:sz w:val="24"/>
          <w:szCs w:val="24"/>
        </w:rPr>
        <w:t xml:space="preserve"> six-year </w:t>
      </w:r>
      <w:r w:rsidR="0001037A">
        <w:rPr>
          <w:rFonts w:ascii="Times New Roman" w:hAnsi="Times New Roman" w:cs="Times New Roman"/>
          <w:sz w:val="24"/>
          <w:szCs w:val="24"/>
        </w:rPr>
        <w:t xml:space="preserve">graduation </w:t>
      </w:r>
      <w:r w:rsidR="002E6526" w:rsidRPr="00E74148">
        <w:rPr>
          <w:rFonts w:ascii="Times New Roman" w:hAnsi="Times New Roman" w:cs="Times New Roman"/>
          <w:sz w:val="24"/>
          <w:szCs w:val="24"/>
        </w:rPr>
        <w:t>rate,</w:t>
      </w:r>
      <w:r w:rsidR="002E6526" w:rsidRPr="00E74148">
        <w:rPr>
          <w:rFonts w:ascii="Times New Roman" w:hAnsi="Times New Roman" w:cs="Times New Roman"/>
          <w:sz w:val="24"/>
          <w:szCs w:val="24"/>
          <w:vertAlign w:val="superscript"/>
        </w:rPr>
        <w:footnoteReference w:id="37"/>
      </w:r>
      <w:r w:rsidR="002E6526" w:rsidRPr="00E74148">
        <w:rPr>
          <w:rFonts w:ascii="Times New Roman" w:hAnsi="Times New Roman" w:cs="Times New Roman"/>
          <w:sz w:val="24"/>
          <w:szCs w:val="24"/>
        </w:rPr>
        <w:t xml:space="preserve"> administrators attributed </w:t>
      </w:r>
      <w:r>
        <w:rPr>
          <w:rFonts w:ascii="Times New Roman" w:hAnsi="Times New Roman" w:cs="Times New Roman"/>
          <w:sz w:val="24"/>
          <w:szCs w:val="24"/>
        </w:rPr>
        <w:t xml:space="preserve">stellar </w:t>
      </w:r>
      <w:r w:rsidR="002E6526" w:rsidRPr="00E74148">
        <w:rPr>
          <w:rFonts w:ascii="Times New Roman" w:hAnsi="Times New Roman" w:cs="Times New Roman"/>
          <w:sz w:val="24"/>
          <w:szCs w:val="24"/>
        </w:rPr>
        <w:t>outcomes to a robust advisory system. Ben Casey, Pamlico’s dir</w:t>
      </w:r>
      <w:r w:rsidR="00974354">
        <w:rPr>
          <w:rFonts w:ascii="Times New Roman" w:hAnsi="Times New Roman" w:cs="Times New Roman"/>
          <w:sz w:val="24"/>
          <w:szCs w:val="24"/>
        </w:rPr>
        <w:t>ector of public affairs, points</w:t>
      </w:r>
      <w:r w:rsidR="002E6526" w:rsidRPr="00E74148">
        <w:rPr>
          <w:rFonts w:ascii="Times New Roman" w:hAnsi="Times New Roman" w:cs="Times New Roman"/>
          <w:sz w:val="24"/>
          <w:szCs w:val="24"/>
        </w:rPr>
        <w:t xml:space="preserve"> specif</w:t>
      </w:r>
      <w:r>
        <w:rPr>
          <w:rFonts w:ascii="Times New Roman" w:hAnsi="Times New Roman" w:cs="Times New Roman"/>
          <w:sz w:val="24"/>
          <w:szCs w:val="24"/>
        </w:rPr>
        <w:t>ically to the school’s computer-</w:t>
      </w:r>
      <w:r w:rsidR="002E6526" w:rsidRPr="00E74148">
        <w:rPr>
          <w:rFonts w:ascii="Times New Roman" w:hAnsi="Times New Roman" w:cs="Times New Roman"/>
          <w:sz w:val="24"/>
          <w:szCs w:val="24"/>
        </w:rPr>
        <w:t xml:space="preserve">tracking system, which </w:t>
      </w:r>
      <w:r>
        <w:rPr>
          <w:rFonts w:ascii="Times New Roman" w:hAnsi="Times New Roman" w:cs="Times New Roman"/>
          <w:sz w:val="24"/>
          <w:szCs w:val="24"/>
        </w:rPr>
        <w:t xml:space="preserve">alerts </w:t>
      </w:r>
      <w:r w:rsidR="002E6526" w:rsidRPr="00E74148">
        <w:rPr>
          <w:rFonts w:ascii="Times New Roman" w:hAnsi="Times New Roman" w:cs="Times New Roman"/>
          <w:sz w:val="24"/>
          <w:szCs w:val="24"/>
        </w:rPr>
        <w:t xml:space="preserve">advisors if students </w:t>
      </w:r>
      <w:r>
        <w:rPr>
          <w:rFonts w:ascii="Times New Roman" w:hAnsi="Times New Roman" w:cs="Times New Roman"/>
          <w:sz w:val="24"/>
          <w:szCs w:val="24"/>
        </w:rPr>
        <w:t>fall</w:t>
      </w:r>
      <w:r w:rsidR="002E6526" w:rsidRPr="00E74148">
        <w:rPr>
          <w:rFonts w:ascii="Times New Roman" w:hAnsi="Times New Roman" w:cs="Times New Roman"/>
          <w:sz w:val="24"/>
          <w:szCs w:val="24"/>
        </w:rPr>
        <w:t xml:space="preserve"> behind on assig</w:t>
      </w:r>
      <w:r w:rsidR="00974354">
        <w:rPr>
          <w:rFonts w:ascii="Times New Roman" w:hAnsi="Times New Roman" w:cs="Times New Roman"/>
          <w:sz w:val="24"/>
          <w:szCs w:val="24"/>
        </w:rPr>
        <w:t>nments.</w:t>
      </w:r>
    </w:p>
    <w:p w14:paraId="1ED3C620" w14:textId="1788B701" w:rsidR="002E6526" w:rsidRPr="00E74148" w:rsidRDefault="00974354" w:rsidP="00974354">
      <w:pPr>
        <w:spacing w:line="240" w:lineRule="auto"/>
        <w:ind w:firstLine="720"/>
        <w:rPr>
          <w:rFonts w:ascii="Times New Roman" w:hAnsi="Times New Roman" w:cs="Times New Roman"/>
          <w:sz w:val="24"/>
          <w:szCs w:val="24"/>
        </w:rPr>
      </w:pPr>
      <w:r>
        <w:rPr>
          <w:rFonts w:ascii="Times New Roman" w:hAnsi="Times New Roman" w:cs="Times New Roman"/>
          <w:sz w:val="24"/>
          <w:szCs w:val="24"/>
        </w:rPr>
        <w:t>W</w:t>
      </w:r>
      <w:r w:rsidR="0050715C">
        <w:rPr>
          <w:rFonts w:ascii="Times New Roman" w:hAnsi="Times New Roman" w:cs="Times New Roman"/>
          <w:sz w:val="24"/>
          <w:szCs w:val="24"/>
        </w:rPr>
        <w:t xml:space="preserve">hen, for instance, </w:t>
      </w:r>
      <w:r w:rsidR="002E6526" w:rsidRPr="00E74148">
        <w:rPr>
          <w:rFonts w:ascii="Times New Roman" w:hAnsi="Times New Roman" w:cs="Times New Roman"/>
          <w:sz w:val="24"/>
          <w:szCs w:val="24"/>
        </w:rPr>
        <w:t xml:space="preserve">one </w:t>
      </w:r>
      <w:r>
        <w:rPr>
          <w:rFonts w:ascii="Times New Roman" w:hAnsi="Times New Roman" w:cs="Times New Roman"/>
          <w:sz w:val="24"/>
          <w:szCs w:val="24"/>
        </w:rPr>
        <w:t xml:space="preserve">Pamlico </w:t>
      </w:r>
      <w:r w:rsidR="002E6526" w:rsidRPr="00E74148">
        <w:rPr>
          <w:rFonts w:ascii="Times New Roman" w:hAnsi="Times New Roman" w:cs="Times New Roman"/>
          <w:sz w:val="24"/>
          <w:szCs w:val="24"/>
        </w:rPr>
        <w:t xml:space="preserve">advisor noticed that a student had handed in </w:t>
      </w:r>
      <w:r w:rsidR="0050715C">
        <w:rPr>
          <w:rFonts w:ascii="Times New Roman" w:hAnsi="Times New Roman" w:cs="Times New Roman"/>
          <w:sz w:val="24"/>
          <w:szCs w:val="24"/>
        </w:rPr>
        <w:t>only one-fifth of his assignments, t</w:t>
      </w:r>
      <w:r w:rsidR="002E6526" w:rsidRPr="00E74148">
        <w:rPr>
          <w:rFonts w:ascii="Times New Roman" w:hAnsi="Times New Roman" w:cs="Times New Roman"/>
          <w:sz w:val="24"/>
          <w:szCs w:val="24"/>
        </w:rPr>
        <w:t>he advisor promptly spoke to the student, who revealed that</w:t>
      </w:r>
      <w:r w:rsidR="0034221C">
        <w:rPr>
          <w:rFonts w:ascii="Times New Roman" w:hAnsi="Times New Roman" w:cs="Times New Roman"/>
          <w:sz w:val="24"/>
          <w:szCs w:val="24"/>
        </w:rPr>
        <w:t xml:space="preserve"> he lacked</w:t>
      </w:r>
      <w:r w:rsidR="002E6526" w:rsidRPr="00E74148">
        <w:rPr>
          <w:rFonts w:ascii="Times New Roman" w:hAnsi="Times New Roman" w:cs="Times New Roman"/>
          <w:sz w:val="24"/>
          <w:szCs w:val="24"/>
        </w:rPr>
        <w:t xml:space="preserve"> access to a computer at hom</w:t>
      </w:r>
      <w:r w:rsidR="0034221C">
        <w:rPr>
          <w:rFonts w:ascii="Times New Roman" w:hAnsi="Times New Roman" w:cs="Times New Roman"/>
          <w:sz w:val="24"/>
          <w:szCs w:val="24"/>
        </w:rPr>
        <w:t>e. T</w:t>
      </w:r>
      <w:r w:rsidR="00CC3F45">
        <w:rPr>
          <w:rFonts w:ascii="Times New Roman" w:hAnsi="Times New Roman" w:cs="Times New Roman"/>
          <w:sz w:val="24"/>
          <w:szCs w:val="24"/>
        </w:rPr>
        <w:t>he advisor subsequently—and successfully—arranged for</w:t>
      </w:r>
      <w:r w:rsidR="002E6526" w:rsidRPr="00E74148">
        <w:rPr>
          <w:rFonts w:ascii="Times New Roman" w:hAnsi="Times New Roman" w:cs="Times New Roman"/>
          <w:sz w:val="24"/>
          <w:szCs w:val="24"/>
        </w:rPr>
        <w:t xml:space="preserve"> the student </w:t>
      </w:r>
      <w:r w:rsidR="00CC3F45">
        <w:rPr>
          <w:rFonts w:ascii="Times New Roman" w:hAnsi="Times New Roman" w:cs="Times New Roman"/>
          <w:sz w:val="24"/>
          <w:szCs w:val="24"/>
        </w:rPr>
        <w:t xml:space="preserve">to </w:t>
      </w:r>
      <w:r w:rsidR="002E6526" w:rsidRPr="00E74148">
        <w:rPr>
          <w:rFonts w:ascii="Times New Roman" w:hAnsi="Times New Roman" w:cs="Times New Roman"/>
          <w:sz w:val="24"/>
          <w:szCs w:val="24"/>
        </w:rPr>
        <w:t xml:space="preserve">complete his </w:t>
      </w:r>
      <w:r w:rsidR="00CC3F45">
        <w:rPr>
          <w:rFonts w:ascii="Times New Roman" w:hAnsi="Times New Roman" w:cs="Times New Roman"/>
          <w:sz w:val="24"/>
          <w:szCs w:val="24"/>
        </w:rPr>
        <w:t>home</w:t>
      </w:r>
      <w:r w:rsidR="002E6526" w:rsidRPr="00E74148">
        <w:rPr>
          <w:rFonts w:ascii="Times New Roman" w:hAnsi="Times New Roman" w:cs="Times New Roman"/>
          <w:sz w:val="24"/>
          <w:szCs w:val="24"/>
        </w:rPr>
        <w:t>work on the school’s library computers.</w:t>
      </w:r>
      <w:r w:rsidR="002E6526" w:rsidRPr="00E74148">
        <w:rPr>
          <w:rFonts w:ascii="Times New Roman" w:hAnsi="Times New Roman" w:cs="Times New Roman"/>
          <w:sz w:val="24"/>
          <w:szCs w:val="24"/>
          <w:vertAlign w:val="superscript"/>
        </w:rPr>
        <w:footnoteReference w:id="38"/>
      </w:r>
    </w:p>
    <w:p w14:paraId="3D646AD1" w14:textId="459A586A" w:rsidR="00CC3F45" w:rsidRDefault="00CC3F45" w:rsidP="00CC3F45">
      <w:pPr>
        <w:spacing w:line="240" w:lineRule="auto"/>
        <w:ind w:firstLine="720"/>
        <w:rPr>
          <w:rFonts w:ascii="Times New Roman" w:hAnsi="Times New Roman" w:cs="Times New Roman"/>
          <w:sz w:val="24"/>
          <w:szCs w:val="24"/>
        </w:rPr>
      </w:pPr>
      <w:r w:rsidRPr="00CC3F45">
        <w:rPr>
          <w:rFonts w:ascii="Times New Roman" w:hAnsi="Times New Roman" w:cs="Times New Roman"/>
          <w:sz w:val="24"/>
          <w:szCs w:val="24"/>
        </w:rPr>
        <w:t>Judy Miner</w:t>
      </w:r>
      <w:r>
        <w:rPr>
          <w:rFonts w:ascii="Times New Roman" w:hAnsi="Times New Roman" w:cs="Times New Roman"/>
          <w:sz w:val="24"/>
          <w:szCs w:val="24"/>
        </w:rPr>
        <w:t xml:space="preserve">, president of </w:t>
      </w:r>
      <w:r w:rsidR="002E6526" w:rsidRPr="00E74148">
        <w:rPr>
          <w:rFonts w:ascii="Times New Roman" w:hAnsi="Times New Roman" w:cs="Times New Roman"/>
          <w:sz w:val="24"/>
          <w:szCs w:val="24"/>
        </w:rPr>
        <w:t xml:space="preserve">Foothill College in California, which </w:t>
      </w:r>
      <w:r w:rsidR="0034221C">
        <w:rPr>
          <w:rFonts w:ascii="Times New Roman" w:hAnsi="Times New Roman" w:cs="Times New Roman"/>
          <w:sz w:val="24"/>
          <w:szCs w:val="24"/>
        </w:rPr>
        <w:t xml:space="preserve">sports </w:t>
      </w:r>
      <w:r>
        <w:rPr>
          <w:rFonts w:ascii="Times New Roman" w:hAnsi="Times New Roman" w:cs="Times New Roman"/>
          <w:sz w:val="24"/>
          <w:szCs w:val="24"/>
        </w:rPr>
        <w:t>a 59 percent six-year graduation rate, attributed her school’s strong</w:t>
      </w:r>
      <w:r w:rsidR="002E6526" w:rsidRPr="00E74148">
        <w:rPr>
          <w:rFonts w:ascii="Times New Roman" w:hAnsi="Times New Roman" w:cs="Times New Roman"/>
          <w:sz w:val="24"/>
          <w:szCs w:val="24"/>
        </w:rPr>
        <w:t xml:space="preserve"> performance to its relentless evaluation of strategies </w:t>
      </w:r>
      <w:r w:rsidR="004D0DFB">
        <w:rPr>
          <w:rFonts w:ascii="Times New Roman" w:hAnsi="Times New Roman" w:cs="Times New Roman"/>
          <w:sz w:val="24"/>
          <w:szCs w:val="24"/>
        </w:rPr>
        <w:t xml:space="preserve">to ensure </w:t>
      </w:r>
      <w:r w:rsidR="002E6526" w:rsidRPr="00E74148">
        <w:rPr>
          <w:rFonts w:ascii="Times New Roman" w:hAnsi="Times New Roman" w:cs="Times New Roman"/>
          <w:sz w:val="24"/>
          <w:szCs w:val="24"/>
        </w:rPr>
        <w:t>student</w:t>
      </w:r>
      <w:r w:rsidR="004D0DFB">
        <w:rPr>
          <w:rFonts w:ascii="Times New Roman" w:hAnsi="Times New Roman" w:cs="Times New Roman"/>
          <w:sz w:val="24"/>
          <w:szCs w:val="24"/>
        </w:rPr>
        <w:t>s</w:t>
      </w:r>
      <w:r w:rsidR="002E6526" w:rsidRPr="00E74148">
        <w:rPr>
          <w:rFonts w:ascii="Times New Roman" w:hAnsi="Times New Roman" w:cs="Times New Roman"/>
          <w:sz w:val="24"/>
          <w:szCs w:val="24"/>
        </w:rPr>
        <w:t xml:space="preserve"> success. Faculty</w:t>
      </w:r>
      <w:r w:rsidR="003B60F9">
        <w:rPr>
          <w:rFonts w:ascii="Times New Roman" w:hAnsi="Times New Roman" w:cs="Times New Roman"/>
          <w:sz w:val="24"/>
          <w:szCs w:val="24"/>
        </w:rPr>
        <w:t>, for example,</w:t>
      </w:r>
      <w:r w:rsidR="002E6526" w:rsidRPr="00E74148">
        <w:rPr>
          <w:rFonts w:ascii="Times New Roman" w:hAnsi="Times New Roman" w:cs="Times New Roman"/>
          <w:sz w:val="24"/>
          <w:szCs w:val="24"/>
        </w:rPr>
        <w:t xml:space="preserve"> attend meetings and workshops where they share classroom experiences. </w:t>
      </w:r>
      <w:r>
        <w:rPr>
          <w:rFonts w:ascii="Times New Roman" w:hAnsi="Times New Roman" w:cs="Times New Roman"/>
          <w:sz w:val="24"/>
          <w:szCs w:val="24"/>
        </w:rPr>
        <w:t>T</w:t>
      </w:r>
      <w:r w:rsidR="002E6526" w:rsidRPr="00E74148">
        <w:rPr>
          <w:rFonts w:ascii="Times New Roman" w:hAnsi="Times New Roman" w:cs="Times New Roman"/>
          <w:sz w:val="24"/>
          <w:szCs w:val="24"/>
        </w:rPr>
        <w:t xml:space="preserve">his attention to </w:t>
      </w:r>
      <w:r>
        <w:rPr>
          <w:rFonts w:ascii="Times New Roman" w:hAnsi="Times New Roman" w:cs="Times New Roman"/>
          <w:sz w:val="24"/>
          <w:szCs w:val="24"/>
        </w:rPr>
        <w:t>“</w:t>
      </w:r>
      <w:r w:rsidR="002E6526" w:rsidRPr="00E74148">
        <w:rPr>
          <w:rFonts w:ascii="Times New Roman" w:hAnsi="Times New Roman" w:cs="Times New Roman"/>
          <w:sz w:val="24"/>
          <w:szCs w:val="24"/>
        </w:rPr>
        <w:t>what works for students,</w:t>
      </w:r>
      <w:r>
        <w:rPr>
          <w:rFonts w:ascii="Times New Roman" w:hAnsi="Times New Roman" w:cs="Times New Roman"/>
          <w:sz w:val="24"/>
          <w:szCs w:val="24"/>
        </w:rPr>
        <w:t>”</w:t>
      </w:r>
      <w:r w:rsidR="002E6526" w:rsidRPr="00E74148">
        <w:rPr>
          <w:rFonts w:ascii="Times New Roman" w:hAnsi="Times New Roman" w:cs="Times New Roman"/>
          <w:sz w:val="24"/>
          <w:szCs w:val="24"/>
        </w:rPr>
        <w:t xml:space="preserve"> </w:t>
      </w:r>
      <w:r>
        <w:rPr>
          <w:rFonts w:ascii="Times New Roman" w:hAnsi="Times New Roman" w:cs="Times New Roman"/>
          <w:sz w:val="24"/>
          <w:szCs w:val="24"/>
        </w:rPr>
        <w:t xml:space="preserve">says Miner, </w:t>
      </w:r>
      <w:r w:rsidR="002E6526" w:rsidRPr="00E74148">
        <w:rPr>
          <w:rFonts w:ascii="Times New Roman" w:hAnsi="Times New Roman" w:cs="Times New Roman"/>
          <w:sz w:val="24"/>
          <w:szCs w:val="24"/>
        </w:rPr>
        <w:t>combined with Foothill’s “comprehensive</w:t>
      </w:r>
      <w:r w:rsidR="00F204BE">
        <w:rPr>
          <w:rFonts w:ascii="Times New Roman" w:hAnsi="Times New Roman" w:cs="Times New Roman"/>
          <w:sz w:val="24"/>
          <w:szCs w:val="24"/>
        </w:rPr>
        <w:t>” student counseling,</w:t>
      </w:r>
      <w:r w:rsidR="002E6526" w:rsidRPr="00E74148">
        <w:rPr>
          <w:rFonts w:ascii="Times New Roman" w:hAnsi="Times New Roman" w:cs="Times New Roman"/>
          <w:sz w:val="24"/>
          <w:szCs w:val="24"/>
        </w:rPr>
        <w:t xml:space="preserve"> pr</w:t>
      </w:r>
      <w:r>
        <w:rPr>
          <w:rFonts w:ascii="Times New Roman" w:hAnsi="Times New Roman" w:cs="Times New Roman"/>
          <w:sz w:val="24"/>
          <w:szCs w:val="24"/>
        </w:rPr>
        <w:t>oduce</w:t>
      </w:r>
      <w:r w:rsidR="00F204BE">
        <w:rPr>
          <w:rFonts w:ascii="Times New Roman" w:hAnsi="Times New Roman" w:cs="Times New Roman"/>
          <w:sz w:val="24"/>
          <w:szCs w:val="24"/>
        </w:rPr>
        <w:t>s</w:t>
      </w:r>
      <w:r w:rsidR="002E6526" w:rsidRPr="00E74148">
        <w:rPr>
          <w:rFonts w:ascii="Times New Roman" w:hAnsi="Times New Roman" w:cs="Times New Roman"/>
          <w:sz w:val="24"/>
          <w:szCs w:val="24"/>
        </w:rPr>
        <w:t xml:space="preserve"> </w:t>
      </w:r>
      <w:r w:rsidR="00F204BE">
        <w:rPr>
          <w:rFonts w:ascii="Times New Roman" w:hAnsi="Times New Roman" w:cs="Times New Roman"/>
          <w:sz w:val="24"/>
          <w:szCs w:val="24"/>
        </w:rPr>
        <w:t xml:space="preserve">excellent </w:t>
      </w:r>
      <w:r w:rsidR="002E6526" w:rsidRPr="00E74148">
        <w:rPr>
          <w:rFonts w:ascii="Times New Roman" w:hAnsi="Times New Roman" w:cs="Times New Roman"/>
          <w:sz w:val="24"/>
          <w:szCs w:val="24"/>
        </w:rPr>
        <w:t>results.</w:t>
      </w:r>
      <w:r w:rsidR="002E6526" w:rsidRPr="00E74148">
        <w:rPr>
          <w:rFonts w:ascii="Times New Roman" w:hAnsi="Times New Roman" w:cs="Times New Roman"/>
          <w:sz w:val="24"/>
          <w:szCs w:val="24"/>
          <w:vertAlign w:val="superscript"/>
        </w:rPr>
        <w:footnoteReference w:id="39"/>
      </w:r>
      <w:r w:rsidR="002E6526" w:rsidRPr="00E74148">
        <w:rPr>
          <w:rFonts w:ascii="Times New Roman" w:hAnsi="Times New Roman" w:cs="Times New Roman"/>
          <w:sz w:val="24"/>
          <w:szCs w:val="24"/>
        </w:rPr>
        <w:t xml:space="preserve"> </w:t>
      </w:r>
    </w:p>
    <w:p w14:paraId="5062A410" w14:textId="64F49493" w:rsidR="00CC3F45" w:rsidRDefault="00AE4C97" w:rsidP="00CC3F45">
      <w:pPr>
        <w:spacing w:line="240" w:lineRule="auto"/>
        <w:ind w:firstLine="720"/>
        <w:rPr>
          <w:rFonts w:ascii="Times New Roman" w:hAnsi="Times New Roman" w:cs="Times New Roman"/>
          <w:sz w:val="24"/>
          <w:szCs w:val="24"/>
        </w:rPr>
      </w:pPr>
      <w:r>
        <w:rPr>
          <w:rFonts w:ascii="Times New Roman" w:hAnsi="Times New Roman" w:cs="Times New Roman"/>
          <w:sz w:val="24"/>
          <w:szCs w:val="24"/>
        </w:rPr>
        <w:t>Similarly, t</w:t>
      </w:r>
      <w:r w:rsidR="00A22077" w:rsidRPr="00E74148">
        <w:rPr>
          <w:rFonts w:ascii="Times New Roman" w:hAnsi="Times New Roman" w:cs="Times New Roman"/>
          <w:sz w:val="24"/>
          <w:szCs w:val="24"/>
        </w:rPr>
        <w:t>he City University of New York’s</w:t>
      </w:r>
      <w:r w:rsidR="00CC3F45">
        <w:rPr>
          <w:rFonts w:ascii="Times New Roman" w:hAnsi="Times New Roman" w:cs="Times New Roman"/>
          <w:sz w:val="24"/>
          <w:szCs w:val="24"/>
        </w:rPr>
        <w:t xml:space="preserve"> (CUNY) Accelerated Study in Associate Programs</w:t>
      </w:r>
      <w:r w:rsidR="00A22077" w:rsidRPr="00E74148">
        <w:rPr>
          <w:rFonts w:ascii="Times New Roman" w:hAnsi="Times New Roman" w:cs="Times New Roman"/>
          <w:sz w:val="24"/>
          <w:szCs w:val="24"/>
          <w:vertAlign w:val="superscript"/>
        </w:rPr>
        <w:footnoteReference w:id="40"/>
      </w:r>
      <w:r w:rsidR="00CC3F45">
        <w:rPr>
          <w:rFonts w:ascii="Times New Roman" w:hAnsi="Times New Roman" w:cs="Times New Roman"/>
          <w:sz w:val="24"/>
          <w:szCs w:val="24"/>
        </w:rPr>
        <w:t>—which offers</w:t>
      </w:r>
      <w:r w:rsidR="00A22077" w:rsidRPr="00E74148">
        <w:rPr>
          <w:rFonts w:ascii="Times New Roman" w:hAnsi="Times New Roman" w:cs="Times New Roman"/>
          <w:sz w:val="24"/>
          <w:szCs w:val="24"/>
        </w:rPr>
        <w:t xml:space="preserve"> reduced-cost </w:t>
      </w:r>
      <w:r w:rsidR="00CC3F45">
        <w:rPr>
          <w:rFonts w:ascii="Times New Roman" w:hAnsi="Times New Roman" w:cs="Times New Roman"/>
          <w:sz w:val="24"/>
          <w:szCs w:val="24"/>
        </w:rPr>
        <w:t>tuition, frequent</w:t>
      </w:r>
      <w:r w:rsidR="0072442A">
        <w:rPr>
          <w:rFonts w:ascii="Times New Roman" w:hAnsi="Times New Roman" w:cs="Times New Roman"/>
          <w:sz w:val="24"/>
          <w:szCs w:val="24"/>
        </w:rPr>
        <w:t xml:space="preserve"> </w:t>
      </w:r>
      <w:r w:rsidR="00CC3F45">
        <w:rPr>
          <w:rFonts w:ascii="Times New Roman" w:hAnsi="Times New Roman" w:cs="Times New Roman"/>
          <w:sz w:val="24"/>
          <w:szCs w:val="24"/>
        </w:rPr>
        <w:t>student</w:t>
      </w:r>
      <w:r>
        <w:rPr>
          <w:rFonts w:ascii="Times New Roman" w:hAnsi="Times New Roman" w:cs="Times New Roman"/>
          <w:sz w:val="24"/>
          <w:szCs w:val="24"/>
        </w:rPr>
        <w:t xml:space="preserve"> counseling</w:t>
      </w:r>
      <w:r w:rsidR="00CC3F45">
        <w:rPr>
          <w:rFonts w:ascii="Times New Roman" w:hAnsi="Times New Roman" w:cs="Times New Roman"/>
          <w:sz w:val="24"/>
          <w:szCs w:val="24"/>
        </w:rPr>
        <w:t>, and flexible course scheduling—achieve</w:t>
      </w:r>
      <w:r>
        <w:rPr>
          <w:rFonts w:ascii="Times New Roman" w:hAnsi="Times New Roman" w:cs="Times New Roman"/>
          <w:sz w:val="24"/>
          <w:szCs w:val="24"/>
        </w:rPr>
        <w:t>s</w:t>
      </w:r>
      <w:r w:rsidR="00A86FA6">
        <w:rPr>
          <w:rFonts w:ascii="Times New Roman" w:hAnsi="Times New Roman" w:cs="Times New Roman"/>
          <w:sz w:val="24"/>
          <w:szCs w:val="24"/>
        </w:rPr>
        <w:t xml:space="preserve"> better outcomes for </w:t>
      </w:r>
      <w:r>
        <w:rPr>
          <w:rFonts w:ascii="Times New Roman" w:hAnsi="Times New Roman" w:cs="Times New Roman"/>
          <w:sz w:val="24"/>
          <w:szCs w:val="24"/>
        </w:rPr>
        <w:t xml:space="preserve">enrolled </w:t>
      </w:r>
      <w:r w:rsidR="00A86FA6">
        <w:rPr>
          <w:rFonts w:ascii="Times New Roman" w:hAnsi="Times New Roman" w:cs="Times New Roman"/>
          <w:sz w:val="24"/>
          <w:szCs w:val="24"/>
        </w:rPr>
        <w:t xml:space="preserve">community </w:t>
      </w:r>
      <w:r w:rsidR="00A22077" w:rsidRPr="00E74148">
        <w:rPr>
          <w:rFonts w:ascii="Times New Roman" w:hAnsi="Times New Roman" w:cs="Times New Roman"/>
          <w:sz w:val="24"/>
          <w:szCs w:val="24"/>
        </w:rPr>
        <w:t xml:space="preserve">college students </w:t>
      </w:r>
      <w:r w:rsidR="00CC3F45">
        <w:rPr>
          <w:rFonts w:ascii="Times New Roman" w:hAnsi="Times New Roman" w:cs="Times New Roman"/>
          <w:sz w:val="24"/>
          <w:szCs w:val="24"/>
        </w:rPr>
        <w:t>than fo</w:t>
      </w:r>
      <w:r w:rsidR="00A86FA6">
        <w:rPr>
          <w:rFonts w:ascii="Times New Roman" w:hAnsi="Times New Roman" w:cs="Times New Roman"/>
          <w:sz w:val="24"/>
          <w:szCs w:val="24"/>
        </w:rPr>
        <w:t xml:space="preserve">r their non-enrolled, community </w:t>
      </w:r>
      <w:r w:rsidR="00CC3F45">
        <w:rPr>
          <w:rFonts w:ascii="Times New Roman" w:hAnsi="Times New Roman" w:cs="Times New Roman"/>
          <w:sz w:val="24"/>
          <w:szCs w:val="24"/>
        </w:rPr>
        <w:t xml:space="preserve">college </w:t>
      </w:r>
      <w:r w:rsidR="00A22077" w:rsidRPr="00E74148">
        <w:rPr>
          <w:rFonts w:ascii="Times New Roman" w:hAnsi="Times New Roman" w:cs="Times New Roman"/>
          <w:sz w:val="24"/>
          <w:szCs w:val="24"/>
        </w:rPr>
        <w:t>peers</w:t>
      </w:r>
      <w:r w:rsidR="002E6526" w:rsidRPr="00E74148">
        <w:rPr>
          <w:rFonts w:ascii="Times New Roman" w:hAnsi="Times New Roman" w:cs="Times New Roman"/>
          <w:sz w:val="24"/>
          <w:szCs w:val="24"/>
        </w:rPr>
        <w:t>.</w:t>
      </w:r>
      <w:r w:rsidR="00A22077" w:rsidRPr="00E74148">
        <w:rPr>
          <w:rFonts w:ascii="Times New Roman" w:hAnsi="Times New Roman" w:cs="Times New Roman"/>
          <w:sz w:val="24"/>
          <w:szCs w:val="24"/>
          <w:vertAlign w:val="superscript"/>
        </w:rPr>
        <w:footnoteReference w:id="41"/>
      </w:r>
    </w:p>
    <w:p w14:paraId="733CCA95" w14:textId="4E7B098A" w:rsidR="001B7630" w:rsidRDefault="009F59F4" w:rsidP="003F75A5">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True, </w:t>
      </w:r>
      <w:r w:rsidR="000B1398">
        <w:rPr>
          <w:rFonts w:ascii="Times New Roman" w:hAnsi="Times New Roman" w:cs="Times New Roman"/>
          <w:sz w:val="24"/>
          <w:szCs w:val="24"/>
        </w:rPr>
        <w:t>m</w:t>
      </w:r>
      <w:r w:rsidR="003F75A5">
        <w:rPr>
          <w:rFonts w:ascii="Times New Roman" w:hAnsi="Times New Roman" w:cs="Times New Roman"/>
          <w:sz w:val="24"/>
          <w:szCs w:val="24"/>
        </w:rPr>
        <w:t>any community colleges</w:t>
      </w:r>
      <w:r w:rsidR="005068FE">
        <w:rPr>
          <w:rFonts w:ascii="Times New Roman" w:hAnsi="Times New Roman" w:cs="Times New Roman"/>
          <w:sz w:val="24"/>
          <w:szCs w:val="24"/>
        </w:rPr>
        <w:t>—</w:t>
      </w:r>
      <w:r w:rsidR="000B1398">
        <w:rPr>
          <w:rFonts w:ascii="Times New Roman" w:hAnsi="Times New Roman" w:cs="Times New Roman"/>
          <w:sz w:val="24"/>
          <w:szCs w:val="24"/>
        </w:rPr>
        <w:t xml:space="preserve">as well as </w:t>
      </w:r>
      <w:r w:rsidR="005068FE">
        <w:rPr>
          <w:rFonts w:ascii="Times New Roman" w:hAnsi="Times New Roman" w:cs="Times New Roman"/>
          <w:sz w:val="24"/>
          <w:szCs w:val="24"/>
        </w:rPr>
        <w:t>local and state governments—</w:t>
      </w:r>
      <w:r w:rsidR="003F75A5">
        <w:rPr>
          <w:rFonts w:ascii="Times New Roman" w:hAnsi="Times New Roman" w:cs="Times New Roman"/>
          <w:sz w:val="24"/>
          <w:szCs w:val="24"/>
        </w:rPr>
        <w:t>may lack the resources to devote</w:t>
      </w:r>
      <w:r w:rsidR="002E6526" w:rsidRPr="00E74148">
        <w:rPr>
          <w:rFonts w:ascii="Times New Roman" w:hAnsi="Times New Roman" w:cs="Times New Roman"/>
          <w:sz w:val="24"/>
          <w:szCs w:val="24"/>
        </w:rPr>
        <w:t xml:space="preserve"> more faculty and administrative attention to </w:t>
      </w:r>
      <w:r w:rsidR="00BE2B96">
        <w:rPr>
          <w:rFonts w:ascii="Times New Roman" w:hAnsi="Times New Roman" w:cs="Times New Roman"/>
          <w:sz w:val="24"/>
          <w:szCs w:val="24"/>
        </w:rPr>
        <w:t xml:space="preserve">such initiatives, </w:t>
      </w:r>
      <w:r w:rsidR="002E6526" w:rsidRPr="00E74148">
        <w:rPr>
          <w:rFonts w:ascii="Times New Roman" w:hAnsi="Times New Roman" w:cs="Times New Roman"/>
          <w:sz w:val="24"/>
          <w:szCs w:val="24"/>
        </w:rPr>
        <w:t xml:space="preserve">especially </w:t>
      </w:r>
      <w:r w:rsidR="003F75A5">
        <w:rPr>
          <w:rFonts w:ascii="Times New Roman" w:hAnsi="Times New Roman" w:cs="Times New Roman"/>
          <w:sz w:val="24"/>
          <w:szCs w:val="24"/>
        </w:rPr>
        <w:t>with the recent d</w:t>
      </w:r>
      <w:r w:rsidR="00A86FA6">
        <w:rPr>
          <w:rFonts w:ascii="Times New Roman" w:hAnsi="Times New Roman" w:cs="Times New Roman"/>
          <w:sz w:val="24"/>
          <w:szCs w:val="24"/>
        </w:rPr>
        <w:t xml:space="preserve">ecline in revenue per community </w:t>
      </w:r>
      <w:r w:rsidR="003F75A5">
        <w:rPr>
          <w:rFonts w:ascii="Times New Roman" w:hAnsi="Times New Roman" w:cs="Times New Roman"/>
          <w:sz w:val="24"/>
          <w:szCs w:val="24"/>
        </w:rPr>
        <w:t>college student</w:t>
      </w:r>
      <w:r w:rsidR="002E6526" w:rsidRPr="00E74148">
        <w:rPr>
          <w:rFonts w:ascii="Times New Roman" w:hAnsi="Times New Roman" w:cs="Times New Roman"/>
          <w:sz w:val="24"/>
          <w:szCs w:val="24"/>
        </w:rPr>
        <w:t>.</w:t>
      </w:r>
      <w:r w:rsidR="002E6526" w:rsidRPr="00E74148">
        <w:rPr>
          <w:rFonts w:ascii="Times New Roman" w:hAnsi="Times New Roman" w:cs="Times New Roman"/>
          <w:sz w:val="24"/>
          <w:szCs w:val="24"/>
          <w:vertAlign w:val="superscript"/>
        </w:rPr>
        <w:footnoteReference w:id="42"/>
      </w:r>
      <w:r w:rsidR="002E6526" w:rsidRPr="00E74148">
        <w:rPr>
          <w:rFonts w:ascii="Times New Roman" w:hAnsi="Times New Roman" w:cs="Times New Roman"/>
          <w:sz w:val="24"/>
          <w:szCs w:val="24"/>
        </w:rPr>
        <w:t xml:space="preserve"> To </w:t>
      </w:r>
      <w:r w:rsidR="003F75A5">
        <w:rPr>
          <w:rFonts w:ascii="Times New Roman" w:hAnsi="Times New Roman" w:cs="Times New Roman"/>
          <w:sz w:val="24"/>
          <w:szCs w:val="24"/>
        </w:rPr>
        <w:t xml:space="preserve">help remedy this, </w:t>
      </w:r>
      <w:r w:rsidR="005068FE">
        <w:rPr>
          <w:rFonts w:ascii="Times New Roman" w:hAnsi="Times New Roman" w:cs="Times New Roman"/>
          <w:sz w:val="24"/>
          <w:szCs w:val="24"/>
        </w:rPr>
        <w:t xml:space="preserve">federal </w:t>
      </w:r>
      <w:r w:rsidR="00105B6B" w:rsidRPr="00E74148">
        <w:rPr>
          <w:rFonts w:ascii="Times New Roman" w:hAnsi="Times New Roman" w:cs="Times New Roman"/>
          <w:sz w:val="24"/>
          <w:szCs w:val="24"/>
        </w:rPr>
        <w:t xml:space="preserve">policymakers should </w:t>
      </w:r>
      <w:r w:rsidR="003F75A5">
        <w:rPr>
          <w:rFonts w:ascii="Times New Roman" w:hAnsi="Times New Roman" w:cs="Times New Roman"/>
          <w:sz w:val="24"/>
          <w:szCs w:val="24"/>
        </w:rPr>
        <w:t xml:space="preserve">revamp </w:t>
      </w:r>
      <w:r w:rsidR="00105B6B" w:rsidRPr="00E74148">
        <w:rPr>
          <w:rFonts w:ascii="Times New Roman" w:hAnsi="Times New Roman" w:cs="Times New Roman"/>
          <w:sz w:val="24"/>
          <w:szCs w:val="24"/>
        </w:rPr>
        <w:t>the</w:t>
      </w:r>
      <w:r w:rsidR="001F31D2">
        <w:rPr>
          <w:rFonts w:ascii="Times New Roman" w:hAnsi="Times New Roman" w:cs="Times New Roman"/>
          <w:sz w:val="24"/>
          <w:szCs w:val="24"/>
        </w:rPr>
        <w:t>ir funding practices for both community colleges and community college students.</w:t>
      </w:r>
    </w:p>
    <w:p w14:paraId="49E74FE4" w14:textId="77777777" w:rsidR="00BE2B96" w:rsidRDefault="00BE2B96" w:rsidP="00BE2B96">
      <w:pPr>
        <w:spacing w:line="240" w:lineRule="auto"/>
        <w:rPr>
          <w:rFonts w:ascii="Times New Roman" w:hAnsi="Times New Roman" w:cs="Times New Roman"/>
          <w:sz w:val="24"/>
          <w:szCs w:val="24"/>
        </w:rPr>
      </w:pPr>
    </w:p>
    <w:p w14:paraId="49F0BCFD" w14:textId="6D0A8933" w:rsidR="00BE2B96" w:rsidRPr="004512CD" w:rsidRDefault="00BE2B96" w:rsidP="00BE2B96">
      <w:pPr>
        <w:spacing w:line="240" w:lineRule="auto"/>
        <w:rPr>
          <w:rFonts w:ascii="Times New Roman" w:hAnsi="Times New Roman" w:cs="Times New Roman"/>
          <w:sz w:val="24"/>
          <w:szCs w:val="24"/>
        </w:rPr>
      </w:pPr>
      <w:r w:rsidRPr="00BE2B96">
        <w:rPr>
          <w:rFonts w:ascii="Times New Roman" w:hAnsi="Times New Roman" w:cs="Times New Roman"/>
          <w:i/>
          <w:sz w:val="24"/>
          <w:szCs w:val="24"/>
        </w:rPr>
        <w:t>Federal funding as stick and carrot</w:t>
      </w:r>
    </w:p>
    <w:p w14:paraId="7E34AEFC" w14:textId="7B760702" w:rsidR="002E6526" w:rsidRPr="00E74148" w:rsidRDefault="003F75A5" w:rsidP="00BE2B96">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first </w:t>
      </w:r>
      <w:r w:rsidR="007360DC">
        <w:rPr>
          <w:rFonts w:ascii="Times New Roman" w:hAnsi="Times New Roman" w:cs="Times New Roman"/>
          <w:sz w:val="24"/>
          <w:szCs w:val="24"/>
        </w:rPr>
        <w:t xml:space="preserve">broad </w:t>
      </w:r>
      <w:r w:rsidR="00733BCB">
        <w:rPr>
          <w:rFonts w:ascii="Times New Roman" w:hAnsi="Times New Roman" w:cs="Times New Roman"/>
          <w:sz w:val="24"/>
          <w:szCs w:val="24"/>
        </w:rPr>
        <w:t xml:space="preserve">federal </w:t>
      </w:r>
      <w:r w:rsidR="005068FE">
        <w:rPr>
          <w:rFonts w:ascii="Times New Roman" w:hAnsi="Times New Roman" w:cs="Times New Roman"/>
          <w:sz w:val="24"/>
          <w:szCs w:val="24"/>
        </w:rPr>
        <w:t xml:space="preserve">funding </w:t>
      </w:r>
      <w:r w:rsidR="005D3B95">
        <w:rPr>
          <w:rFonts w:ascii="Times New Roman" w:hAnsi="Times New Roman" w:cs="Times New Roman"/>
          <w:sz w:val="24"/>
          <w:szCs w:val="24"/>
        </w:rPr>
        <w:t xml:space="preserve">reform </w:t>
      </w:r>
      <w:r>
        <w:rPr>
          <w:rFonts w:ascii="Times New Roman" w:hAnsi="Times New Roman" w:cs="Times New Roman"/>
          <w:sz w:val="24"/>
          <w:szCs w:val="24"/>
        </w:rPr>
        <w:t xml:space="preserve">should be directed at </w:t>
      </w:r>
      <w:r w:rsidR="00BE2B96">
        <w:rPr>
          <w:rFonts w:ascii="Times New Roman" w:hAnsi="Times New Roman" w:cs="Times New Roman"/>
          <w:sz w:val="24"/>
          <w:szCs w:val="24"/>
        </w:rPr>
        <w:t xml:space="preserve">community colleges. </w:t>
      </w:r>
      <w:r w:rsidR="005068FE">
        <w:rPr>
          <w:rFonts w:ascii="Times New Roman" w:hAnsi="Times New Roman" w:cs="Times New Roman"/>
          <w:sz w:val="24"/>
          <w:szCs w:val="24"/>
        </w:rPr>
        <w:t>A</w:t>
      </w:r>
      <w:r w:rsidR="002E6526" w:rsidRPr="00E74148">
        <w:rPr>
          <w:rFonts w:ascii="Times New Roman" w:hAnsi="Times New Roman" w:cs="Times New Roman"/>
          <w:sz w:val="24"/>
          <w:szCs w:val="24"/>
        </w:rPr>
        <w:t xml:space="preserve"> </w:t>
      </w:r>
      <w:r w:rsidR="001B7630" w:rsidRPr="00E74148">
        <w:rPr>
          <w:rFonts w:ascii="Times New Roman" w:hAnsi="Times New Roman" w:cs="Times New Roman"/>
          <w:sz w:val="24"/>
          <w:szCs w:val="24"/>
        </w:rPr>
        <w:t xml:space="preserve">reconsidered </w:t>
      </w:r>
      <w:r w:rsidR="002E6526" w:rsidRPr="00E74148">
        <w:rPr>
          <w:rFonts w:ascii="Times New Roman" w:hAnsi="Times New Roman" w:cs="Times New Roman"/>
          <w:sz w:val="24"/>
          <w:szCs w:val="24"/>
        </w:rPr>
        <w:t xml:space="preserve">federal investment in community colleges would make funds conditional on two criteria: a proven record of above-average </w:t>
      </w:r>
      <w:r w:rsidR="00BE2B96">
        <w:rPr>
          <w:rFonts w:ascii="Times New Roman" w:hAnsi="Times New Roman" w:cs="Times New Roman"/>
          <w:sz w:val="24"/>
          <w:szCs w:val="24"/>
        </w:rPr>
        <w:t>graduation rates and below-average student-</w:t>
      </w:r>
      <w:r w:rsidR="002E6526" w:rsidRPr="00E74148">
        <w:rPr>
          <w:rFonts w:ascii="Times New Roman" w:hAnsi="Times New Roman" w:cs="Times New Roman"/>
          <w:sz w:val="24"/>
          <w:szCs w:val="24"/>
        </w:rPr>
        <w:t xml:space="preserve">loan default rates; and a commitment to use said funds to further improve advisory programs. Federal funds would thus be directed almost exclusively to </w:t>
      </w:r>
      <w:r w:rsidR="00E2278F">
        <w:rPr>
          <w:rFonts w:ascii="Times New Roman" w:hAnsi="Times New Roman" w:cs="Times New Roman"/>
          <w:sz w:val="24"/>
          <w:szCs w:val="24"/>
        </w:rPr>
        <w:t xml:space="preserve">community colleges </w:t>
      </w:r>
      <w:r w:rsidR="002E6526" w:rsidRPr="00E74148">
        <w:rPr>
          <w:rFonts w:ascii="Times New Roman" w:hAnsi="Times New Roman" w:cs="Times New Roman"/>
          <w:sz w:val="24"/>
          <w:szCs w:val="24"/>
        </w:rPr>
        <w:t xml:space="preserve">that demonstrate good results, rather than to </w:t>
      </w:r>
      <w:r w:rsidR="00E2278F">
        <w:rPr>
          <w:rFonts w:ascii="Times New Roman" w:hAnsi="Times New Roman" w:cs="Times New Roman"/>
          <w:sz w:val="24"/>
          <w:szCs w:val="24"/>
        </w:rPr>
        <w:t xml:space="preserve">those </w:t>
      </w:r>
      <w:r w:rsidR="002E6526" w:rsidRPr="00E74148">
        <w:rPr>
          <w:rFonts w:ascii="Times New Roman" w:hAnsi="Times New Roman" w:cs="Times New Roman"/>
          <w:sz w:val="24"/>
          <w:szCs w:val="24"/>
        </w:rPr>
        <w:t>that simply promise to use</w:t>
      </w:r>
      <w:r w:rsidR="00BE2B96">
        <w:rPr>
          <w:rFonts w:ascii="Times New Roman" w:hAnsi="Times New Roman" w:cs="Times New Roman"/>
          <w:sz w:val="24"/>
          <w:szCs w:val="24"/>
        </w:rPr>
        <w:t xml:space="preserve"> federal dollars intelligently.</w:t>
      </w:r>
    </w:p>
    <w:p w14:paraId="4629F94D" w14:textId="2907A702" w:rsidR="005F4072" w:rsidRPr="00E74148" w:rsidRDefault="005068FE" w:rsidP="005068FE">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Revised </w:t>
      </w:r>
      <w:r w:rsidR="00F55434">
        <w:rPr>
          <w:rFonts w:ascii="Times New Roman" w:hAnsi="Times New Roman" w:cs="Times New Roman"/>
          <w:sz w:val="24"/>
          <w:szCs w:val="24"/>
        </w:rPr>
        <w:t xml:space="preserve">eligibility standards, akin to </w:t>
      </w:r>
      <w:r w:rsidR="002E6526" w:rsidRPr="00E74148">
        <w:rPr>
          <w:rFonts w:ascii="Times New Roman" w:hAnsi="Times New Roman" w:cs="Times New Roman"/>
          <w:sz w:val="24"/>
          <w:szCs w:val="24"/>
        </w:rPr>
        <w:t>the D</w:t>
      </w:r>
      <w:r w:rsidR="00C035C0">
        <w:rPr>
          <w:rFonts w:ascii="Times New Roman" w:hAnsi="Times New Roman" w:cs="Times New Roman"/>
          <w:sz w:val="24"/>
          <w:szCs w:val="24"/>
        </w:rPr>
        <w:t xml:space="preserve">oED’s </w:t>
      </w:r>
      <w:r w:rsidR="002E6526" w:rsidRPr="00E74148">
        <w:rPr>
          <w:rFonts w:ascii="Times New Roman" w:hAnsi="Times New Roman" w:cs="Times New Roman"/>
          <w:sz w:val="24"/>
          <w:szCs w:val="24"/>
        </w:rPr>
        <w:t xml:space="preserve">“gainful employment” measures </w:t>
      </w:r>
      <w:r w:rsidR="00F55434">
        <w:rPr>
          <w:rFonts w:ascii="Times New Roman" w:hAnsi="Times New Roman" w:cs="Times New Roman"/>
          <w:sz w:val="24"/>
          <w:szCs w:val="24"/>
        </w:rPr>
        <w:t xml:space="preserve">applied to </w:t>
      </w:r>
      <w:r w:rsidR="002E6526" w:rsidRPr="00E74148">
        <w:rPr>
          <w:rFonts w:ascii="Times New Roman" w:hAnsi="Times New Roman" w:cs="Times New Roman"/>
          <w:sz w:val="24"/>
          <w:szCs w:val="24"/>
        </w:rPr>
        <w:t xml:space="preserve">for-profit colleges, </w:t>
      </w:r>
      <w:r w:rsidR="00F55434">
        <w:rPr>
          <w:rFonts w:ascii="Times New Roman" w:hAnsi="Times New Roman" w:cs="Times New Roman"/>
          <w:sz w:val="24"/>
          <w:szCs w:val="24"/>
        </w:rPr>
        <w:t xml:space="preserve">should </w:t>
      </w:r>
      <w:r w:rsidR="002E6526" w:rsidRPr="00E74148">
        <w:rPr>
          <w:rFonts w:ascii="Times New Roman" w:hAnsi="Times New Roman" w:cs="Times New Roman"/>
          <w:sz w:val="24"/>
          <w:szCs w:val="24"/>
        </w:rPr>
        <w:t xml:space="preserve">withhold aid from </w:t>
      </w:r>
      <w:r w:rsidR="00E2278F">
        <w:rPr>
          <w:rFonts w:ascii="Times New Roman" w:hAnsi="Times New Roman" w:cs="Times New Roman"/>
          <w:sz w:val="24"/>
          <w:szCs w:val="24"/>
        </w:rPr>
        <w:t xml:space="preserve">community colleges </w:t>
      </w:r>
      <w:r w:rsidR="002E6526" w:rsidRPr="00E74148">
        <w:rPr>
          <w:rFonts w:ascii="Times New Roman" w:hAnsi="Times New Roman" w:cs="Times New Roman"/>
          <w:sz w:val="24"/>
          <w:szCs w:val="24"/>
        </w:rPr>
        <w:t xml:space="preserve">whose students fail to </w:t>
      </w:r>
      <w:r w:rsidR="00F55434">
        <w:rPr>
          <w:rFonts w:ascii="Times New Roman" w:hAnsi="Times New Roman" w:cs="Times New Roman"/>
          <w:sz w:val="24"/>
          <w:szCs w:val="24"/>
        </w:rPr>
        <w:t xml:space="preserve">achieve </w:t>
      </w:r>
      <w:r w:rsidR="002E6526" w:rsidRPr="00E74148">
        <w:rPr>
          <w:rFonts w:ascii="Times New Roman" w:hAnsi="Times New Roman" w:cs="Times New Roman"/>
          <w:sz w:val="24"/>
          <w:szCs w:val="24"/>
        </w:rPr>
        <w:t>a</w:t>
      </w:r>
      <w:r w:rsidR="00F55434">
        <w:rPr>
          <w:rFonts w:ascii="Times New Roman" w:hAnsi="Times New Roman" w:cs="Times New Roman"/>
          <w:sz w:val="24"/>
          <w:szCs w:val="24"/>
        </w:rPr>
        <w:t xml:space="preserve"> certain debt-to-earnings ratio—with similar strings attached for graduation and loan-default rates.</w:t>
      </w:r>
    </w:p>
    <w:p w14:paraId="534DCD46" w14:textId="04315D47" w:rsidR="002E2A6C" w:rsidRPr="00E74148" w:rsidRDefault="00F55434" w:rsidP="00F55434">
      <w:pPr>
        <w:spacing w:line="240" w:lineRule="auto"/>
        <w:ind w:firstLine="720"/>
        <w:rPr>
          <w:rFonts w:ascii="Times New Roman" w:hAnsi="Times New Roman" w:cs="Times New Roman"/>
          <w:sz w:val="24"/>
          <w:szCs w:val="24"/>
        </w:rPr>
      </w:pPr>
      <w:r>
        <w:rPr>
          <w:rFonts w:ascii="Times New Roman" w:hAnsi="Times New Roman" w:cs="Times New Roman"/>
          <w:sz w:val="24"/>
          <w:szCs w:val="24"/>
        </w:rPr>
        <w:t>T</w:t>
      </w:r>
      <w:r w:rsidR="00622A4D" w:rsidRPr="00E74148">
        <w:rPr>
          <w:rFonts w:ascii="Times New Roman" w:hAnsi="Times New Roman" w:cs="Times New Roman"/>
          <w:sz w:val="24"/>
          <w:szCs w:val="24"/>
        </w:rPr>
        <w:t xml:space="preserve">o provide </w:t>
      </w:r>
      <w:r w:rsidR="00B421ED" w:rsidRPr="00E74148">
        <w:rPr>
          <w:rFonts w:ascii="Times New Roman" w:hAnsi="Times New Roman" w:cs="Times New Roman"/>
          <w:sz w:val="24"/>
          <w:szCs w:val="24"/>
        </w:rPr>
        <w:t xml:space="preserve">underperforming </w:t>
      </w:r>
      <w:r w:rsidR="00BA335B">
        <w:rPr>
          <w:rFonts w:ascii="Times New Roman" w:hAnsi="Times New Roman" w:cs="Times New Roman"/>
          <w:sz w:val="24"/>
          <w:szCs w:val="24"/>
        </w:rPr>
        <w:t xml:space="preserve">community colleges with </w:t>
      </w:r>
      <w:r w:rsidR="00622A4D" w:rsidRPr="00E74148">
        <w:rPr>
          <w:rFonts w:ascii="Times New Roman" w:hAnsi="Times New Roman" w:cs="Times New Roman"/>
          <w:sz w:val="24"/>
          <w:szCs w:val="24"/>
        </w:rPr>
        <w:t xml:space="preserve">the opportunity to improve, the federal government </w:t>
      </w:r>
      <w:r w:rsidR="00B421ED" w:rsidRPr="00E74148">
        <w:rPr>
          <w:rFonts w:ascii="Times New Roman" w:hAnsi="Times New Roman" w:cs="Times New Roman"/>
          <w:sz w:val="24"/>
          <w:szCs w:val="24"/>
        </w:rPr>
        <w:t>should offer a</w:t>
      </w:r>
      <w:r w:rsidR="00BA335B">
        <w:rPr>
          <w:rFonts w:ascii="Times New Roman" w:hAnsi="Times New Roman" w:cs="Times New Roman"/>
          <w:sz w:val="24"/>
          <w:szCs w:val="24"/>
        </w:rPr>
        <w:t>n initial</w:t>
      </w:r>
      <w:r w:rsidR="00B421ED" w:rsidRPr="00E74148">
        <w:rPr>
          <w:rFonts w:ascii="Times New Roman" w:hAnsi="Times New Roman" w:cs="Times New Roman"/>
          <w:sz w:val="24"/>
          <w:szCs w:val="24"/>
        </w:rPr>
        <w:t xml:space="preserve"> warning</w:t>
      </w:r>
      <w:r w:rsidR="00BA335B">
        <w:rPr>
          <w:rFonts w:ascii="Times New Roman" w:hAnsi="Times New Roman" w:cs="Times New Roman"/>
          <w:sz w:val="24"/>
          <w:szCs w:val="24"/>
        </w:rPr>
        <w:t xml:space="preserve">, followed by </w:t>
      </w:r>
      <w:r w:rsidR="00B421ED" w:rsidRPr="00E74148">
        <w:rPr>
          <w:rFonts w:ascii="Times New Roman" w:hAnsi="Times New Roman" w:cs="Times New Roman"/>
          <w:sz w:val="24"/>
          <w:szCs w:val="24"/>
        </w:rPr>
        <w:t>a three-year grace period</w:t>
      </w:r>
      <w:r w:rsidR="005F4072" w:rsidRPr="00E74148">
        <w:rPr>
          <w:rFonts w:ascii="Times New Roman" w:hAnsi="Times New Roman" w:cs="Times New Roman"/>
          <w:sz w:val="24"/>
          <w:szCs w:val="24"/>
        </w:rPr>
        <w:t xml:space="preserve"> in which</w:t>
      </w:r>
      <w:r w:rsidR="00B421ED" w:rsidRPr="00E74148">
        <w:rPr>
          <w:rFonts w:ascii="Times New Roman" w:hAnsi="Times New Roman" w:cs="Times New Roman"/>
          <w:sz w:val="24"/>
          <w:szCs w:val="24"/>
        </w:rPr>
        <w:t xml:space="preserve"> to boost outcomes.</w:t>
      </w:r>
      <w:r w:rsidR="005F4072" w:rsidRPr="00E74148">
        <w:rPr>
          <w:rFonts w:ascii="Times New Roman" w:hAnsi="Times New Roman" w:cs="Times New Roman"/>
          <w:sz w:val="24"/>
          <w:szCs w:val="24"/>
        </w:rPr>
        <w:t xml:space="preserve"> For </w:t>
      </w:r>
      <w:r w:rsidR="00056BF8">
        <w:rPr>
          <w:rFonts w:ascii="Times New Roman" w:hAnsi="Times New Roman" w:cs="Times New Roman"/>
          <w:sz w:val="24"/>
          <w:szCs w:val="24"/>
        </w:rPr>
        <w:t xml:space="preserve">community colleges </w:t>
      </w:r>
      <w:r w:rsidR="00BA335B">
        <w:rPr>
          <w:rFonts w:ascii="Times New Roman" w:hAnsi="Times New Roman" w:cs="Times New Roman"/>
          <w:sz w:val="24"/>
          <w:szCs w:val="24"/>
        </w:rPr>
        <w:t xml:space="preserve">so vastly behind that reaching </w:t>
      </w:r>
      <w:r w:rsidR="005F4072" w:rsidRPr="00E74148">
        <w:rPr>
          <w:rFonts w:ascii="Times New Roman" w:hAnsi="Times New Roman" w:cs="Times New Roman"/>
          <w:sz w:val="24"/>
          <w:szCs w:val="24"/>
        </w:rPr>
        <w:t xml:space="preserve">the </w:t>
      </w:r>
      <w:r w:rsidR="00BA335B">
        <w:rPr>
          <w:rFonts w:ascii="Times New Roman" w:hAnsi="Times New Roman" w:cs="Times New Roman"/>
          <w:sz w:val="24"/>
          <w:szCs w:val="24"/>
        </w:rPr>
        <w:t>new minimum standards in the allotted</w:t>
      </w:r>
      <w:r w:rsidR="005F4072" w:rsidRPr="00E74148">
        <w:rPr>
          <w:rFonts w:ascii="Times New Roman" w:hAnsi="Times New Roman" w:cs="Times New Roman"/>
          <w:sz w:val="24"/>
          <w:szCs w:val="24"/>
        </w:rPr>
        <w:t xml:space="preserve"> time would be </w:t>
      </w:r>
      <w:r w:rsidR="00BA335B">
        <w:rPr>
          <w:rFonts w:ascii="Times New Roman" w:hAnsi="Times New Roman" w:cs="Times New Roman"/>
          <w:sz w:val="24"/>
          <w:szCs w:val="24"/>
        </w:rPr>
        <w:t xml:space="preserve">next to </w:t>
      </w:r>
      <w:r w:rsidR="005F4072" w:rsidRPr="00E74148">
        <w:rPr>
          <w:rFonts w:ascii="Times New Roman" w:hAnsi="Times New Roman" w:cs="Times New Roman"/>
          <w:sz w:val="24"/>
          <w:szCs w:val="24"/>
        </w:rPr>
        <w:t xml:space="preserve">impossible, policymakers </w:t>
      </w:r>
      <w:r w:rsidR="00BA335B">
        <w:rPr>
          <w:rFonts w:ascii="Times New Roman" w:hAnsi="Times New Roman" w:cs="Times New Roman"/>
          <w:sz w:val="24"/>
          <w:szCs w:val="24"/>
        </w:rPr>
        <w:t xml:space="preserve">could instead </w:t>
      </w:r>
      <w:r w:rsidR="005F4072" w:rsidRPr="00E74148">
        <w:rPr>
          <w:rFonts w:ascii="Times New Roman" w:hAnsi="Times New Roman" w:cs="Times New Roman"/>
          <w:sz w:val="24"/>
          <w:szCs w:val="24"/>
        </w:rPr>
        <w:t xml:space="preserve">require </w:t>
      </w:r>
      <w:r w:rsidR="00BA335B">
        <w:rPr>
          <w:rFonts w:ascii="Times New Roman" w:hAnsi="Times New Roman" w:cs="Times New Roman"/>
          <w:sz w:val="24"/>
          <w:szCs w:val="24"/>
        </w:rPr>
        <w:t xml:space="preserve">such </w:t>
      </w:r>
      <w:r w:rsidR="005F4072" w:rsidRPr="00E74148">
        <w:rPr>
          <w:rFonts w:ascii="Times New Roman" w:hAnsi="Times New Roman" w:cs="Times New Roman"/>
          <w:sz w:val="24"/>
          <w:szCs w:val="24"/>
        </w:rPr>
        <w:t xml:space="preserve">schools to </w:t>
      </w:r>
      <w:r w:rsidR="00BA335B">
        <w:rPr>
          <w:rFonts w:ascii="Times New Roman" w:hAnsi="Times New Roman" w:cs="Times New Roman"/>
          <w:sz w:val="24"/>
          <w:szCs w:val="24"/>
        </w:rPr>
        <w:t xml:space="preserve">demonstrate </w:t>
      </w:r>
      <w:r w:rsidR="00DD2538">
        <w:rPr>
          <w:rFonts w:ascii="Times New Roman" w:hAnsi="Times New Roman" w:cs="Times New Roman"/>
          <w:sz w:val="24"/>
          <w:szCs w:val="24"/>
        </w:rPr>
        <w:t xml:space="preserve">significant </w:t>
      </w:r>
      <w:r w:rsidR="00BA335B">
        <w:rPr>
          <w:rFonts w:ascii="Times New Roman" w:hAnsi="Times New Roman" w:cs="Times New Roman"/>
          <w:sz w:val="24"/>
          <w:szCs w:val="24"/>
        </w:rPr>
        <w:t>improvement (a 20 percent</w:t>
      </w:r>
      <w:r w:rsidR="005F4072" w:rsidRPr="00E74148">
        <w:rPr>
          <w:rFonts w:ascii="Times New Roman" w:hAnsi="Times New Roman" w:cs="Times New Roman"/>
          <w:sz w:val="24"/>
          <w:szCs w:val="24"/>
        </w:rPr>
        <w:t xml:space="preserve"> increase in </w:t>
      </w:r>
      <w:r w:rsidR="00BA335B">
        <w:rPr>
          <w:rFonts w:ascii="Times New Roman" w:hAnsi="Times New Roman" w:cs="Times New Roman"/>
          <w:sz w:val="24"/>
          <w:szCs w:val="24"/>
        </w:rPr>
        <w:t>graduation rates</w:t>
      </w:r>
      <w:r w:rsidR="00DD2538">
        <w:rPr>
          <w:rFonts w:ascii="Times New Roman" w:hAnsi="Times New Roman" w:cs="Times New Roman"/>
          <w:sz w:val="24"/>
          <w:szCs w:val="24"/>
        </w:rPr>
        <w:t>, say,</w:t>
      </w:r>
      <w:r w:rsidR="00BA335B">
        <w:rPr>
          <w:rFonts w:ascii="Times New Roman" w:hAnsi="Times New Roman" w:cs="Times New Roman"/>
          <w:sz w:val="24"/>
          <w:szCs w:val="24"/>
        </w:rPr>
        <w:t xml:space="preserve"> and a 20 percent decrease in loan-</w:t>
      </w:r>
      <w:r w:rsidR="005F4072" w:rsidRPr="00E74148">
        <w:rPr>
          <w:rFonts w:ascii="Times New Roman" w:hAnsi="Times New Roman" w:cs="Times New Roman"/>
          <w:sz w:val="24"/>
          <w:szCs w:val="24"/>
        </w:rPr>
        <w:t>default rates</w:t>
      </w:r>
      <w:r w:rsidR="00BA335B">
        <w:rPr>
          <w:rFonts w:ascii="Times New Roman" w:hAnsi="Times New Roman" w:cs="Times New Roman"/>
          <w:sz w:val="24"/>
          <w:szCs w:val="24"/>
        </w:rPr>
        <w:t>)</w:t>
      </w:r>
      <w:r w:rsidR="005F4072" w:rsidRPr="00E74148">
        <w:rPr>
          <w:rFonts w:ascii="Times New Roman" w:hAnsi="Times New Roman" w:cs="Times New Roman"/>
          <w:sz w:val="24"/>
          <w:szCs w:val="24"/>
        </w:rPr>
        <w:t xml:space="preserve">. </w:t>
      </w:r>
      <w:r w:rsidR="00DD2538">
        <w:rPr>
          <w:rFonts w:ascii="Times New Roman" w:hAnsi="Times New Roman" w:cs="Times New Roman"/>
          <w:sz w:val="24"/>
          <w:szCs w:val="24"/>
        </w:rPr>
        <w:t>F</w:t>
      </w:r>
      <w:r w:rsidR="00B421ED" w:rsidRPr="00E74148">
        <w:rPr>
          <w:rFonts w:ascii="Times New Roman" w:hAnsi="Times New Roman" w:cs="Times New Roman"/>
          <w:sz w:val="24"/>
          <w:szCs w:val="24"/>
        </w:rPr>
        <w:t>ail</w:t>
      </w:r>
      <w:r w:rsidR="00DD2538">
        <w:rPr>
          <w:rFonts w:ascii="Times New Roman" w:hAnsi="Times New Roman" w:cs="Times New Roman"/>
          <w:sz w:val="24"/>
          <w:szCs w:val="24"/>
        </w:rPr>
        <w:t>ure to do so would trigger financial sanctions.</w:t>
      </w:r>
    </w:p>
    <w:p w14:paraId="5B31F1E9" w14:textId="77777777" w:rsidR="001B624D" w:rsidRDefault="00DD2538" w:rsidP="00587A12">
      <w:pPr>
        <w:spacing w:line="240" w:lineRule="auto"/>
        <w:ind w:firstLine="720"/>
        <w:rPr>
          <w:rFonts w:ascii="Times New Roman" w:hAnsi="Times New Roman" w:cs="Times New Roman"/>
          <w:sz w:val="24"/>
          <w:szCs w:val="24"/>
        </w:rPr>
      </w:pPr>
      <w:r>
        <w:rPr>
          <w:rFonts w:ascii="Times New Roman" w:hAnsi="Times New Roman" w:cs="Times New Roman"/>
          <w:sz w:val="24"/>
          <w:szCs w:val="24"/>
        </w:rPr>
        <w:t>While sanctions must be tough enough to bite, p</w:t>
      </w:r>
      <w:r w:rsidR="00C317F6" w:rsidRPr="00E74148">
        <w:rPr>
          <w:rFonts w:ascii="Times New Roman" w:hAnsi="Times New Roman" w:cs="Times New Roman"/>
          <w:sz w:val="24"/>
          <w:szCs w:val="24"/>
        </w:rPr>
        <w:t xml:space="preserve">olicymakers </w:t>
      </w:r>
      <w:r>
        <w:rPr>
          <w:rFonts w:ascii="Times New Roman" w:hAnsi="Times New Roman" w:cs="Times New Roman"/>
          <w:sz w:val="24"/>
          <w:szCs w:val="24"/>
        </w:rPr>
        <w:t xml:space="preserve">must </w:t>
      </w:r>
      <w:r w:rsidR="00C317F6" w:rsidRPr="00E74148">
        <w:rPr>
          <w:rFonts w:ascii="Times New Roman" w:hAnsi="Times New Roman" w:cs="Times New Roman"/>
          <w:sz w:val="24"/>
          <w:szCs w:val="24"/>
        </w:rPr>
        <w:t>not</w:t>
      </w:r>
      <w:r w:rsidR="006009A3">
        <w:rPr>
          <w:rFonts w:ascii="Times New Roman" w:hAnsi="Times New Roman" w:cs="Times New Roman"/>
          <w:sz w:val="24"/>
          <w:szCs w:val="24"/>
        </w:rPr>
        <w:t xml:space="preserve"> starve even the worst community colleges</w:t>
      </w:r>
      <w:r w:rsidR="00C317F6" w:rsidRPr="00E74148">
        <w:rPr>
          <w:rFonts w:ascii="Times New Roman" w:hAnsi="Times New Roman" w:cs="Times New Roman"/>
          <w:sz w:val="24"/>
          <w:szCs w:val="24"/>
        </w:rPr>
        <w:t xml:space="preserve">. </w:t>
      </w:r>
      <w:r w:rsidR="002E2A6C" w:rsidRPr="00E74148">
        <w:rPr>
          <w:rFonts w:ascii="Times New Roman" w:hAnsi="Times New Roman" w:cs="Times New Roman"/>
          <w:sz w:val="24"/>
          <w:szCs w:val="24"/>
        </w:rPr>
        <w:t>Though federal student aid constitute</w:t>
      </w:r>
      <w:r w:rsidR="006009A3">
        <w:rPr>
          <w:rFonts w:ascii="Times New Roman" w:hAnsi="Times New Roman" w:cs="Times New Roman"/>
          <w:sz w:val="24"/>
          <w:szCs w:val="24"/>
        </w:rPr>
        <w:t>s</w:t>
      </w:r>
      <w:r w:rsidR="002E2A6C" w:rsidRPr="00E74148">
        <w:rPr>
          <w:rFonts w:ascii="Times New Roman" w:hAnsi="Times New Roman" w:cs="Times New Roman"/>
          <w:sz w:val="24"/>
          <w:szCs w:val="24"/>
        </w:rPr>
        <w:t xml:space="preserve"> </w:t>
      </w:r>
      <w:r w:rsidR="006009A3">
        <w:rPr>
          <w:rFonts w:ascii="Times New Roman" w:hAnsi="Times New Roman" w:cs="Times New Roman"/>
          <w:sz w:val="24"/>
          <w:szCs w:val="24"/>
        </w:rPr>
        <w:t xml:space="preserve">only </w:t>
      </w:r>
      <w:r w:rsidR="001949F2">
        <w:rPr>
          <w:rFonts w:ascii="Times New Roman" w:hAnsi="Times New Roman" w:cs="Times New Roman"/>
          <w:sz w:val="24"/>
          <w:szCs w:val="24"/>
        </w:rPr>
        <w:t xml:space="preserve">around </w:t>
      </w:r>
      <w:r w:rsidR="006009A3">
        <w:rPr>
          <w:rFonts w:ascii="Times New Roman" w:hAnsi="Times New Roman" w:cs="Times New Roman"/>
          <w:sz w:val="24"/>
          <w:szCs w:val="24"/>
        </w:rPr>
        <w:t>21</w:t>
      </w:r>
      <w:r w:rsidR="001949F2">
        <w:rPr>
          <w:rFonts w:ascii="Times New Roman" w:hAnsi="Times New Roman" w:cs="Times New Roman"/>
          <w:sz w:val="24"/>
          <w:szCs w:val="24"/>
        </w:rPr>
        <w:t xml:space="preserve"> </w:t>
      </w:r>
      <w:r w:rsidR="006009A3">
        <w:rPr>
          <w:rFonts w:ascii="Times New Roman" w:hAnsi="Times New Roman" w:cs="Times New Roman"/>
          <w:sz w:val="24"/>
          <w:szCs w:val="24"/>
        </w:rPr>
        <w:t xml:space="preserve">percent </w:t>
      </w:r>
      <w:r w:rsidR="002E2A6C" w:rsidRPr="00E74148">
        <w:rPr>
          <w:rFonts w:ascii="Times New Roman" w:hAnsi="Times New Roman" w:cs="Times New Roman"/>
          <w:sz w:val="24"/>
          <w:szCs w:val="24"/>
        </w:rPr>
        <w:t>o</w:t>
      </w:r>
      <w:r w:rsidR="00EB1F27">
        <w:rPr>
          <w:rFonts w:ascii="Times New Roman" w:hAnsi="Times New Roman" w:cs="Times New Roman"/>
          <w:sz w:val="24"/>
          <w:szCs w:val="24"/>
        </w:rPr>
        <w:t>f community colleges’ revenues (</w:t>
      </w:r>
      <w:r w:rsidR="002E2A6C" w:rsidRPr="00E74148">
        <w:rPr>
          <w:rFonts w:ascii="Times New Roman" w:hAnsi="Times New Roman" w:cs="Times New Roman"/>
          <w:sz w:val="24"/>
          <w:szCs w:val="24"/>
        </w:rPr>
        <w:t>state and local</w:t>
      </w:r>
      <w:r w:rsidR="006009A3">
        <w:rPr>
          <w:rFonts w:ascii="Times New Roman" w:hAnsi="Times New Roman" w:cs="Times New Roman"/>
          <w:sz w:val="24"/>
          <w:szCs w:val="24"/>
        </w:rPr>
        <w:t xml:space="preserve"> appropriations constitute 41percent, on average</w:t>
      </w:r>
      <w:r w:rsidR="00AB7DCE">
        <w:rPr>
          <w:rFonts w:ascii="Times New Roman" w:hAnsi="Times New Roman" w:cs="Times New Roman"/>
          <w:sz w:val="24"/>
          <w:szCs w:val="24"/>
        </w:rPr>
        <w:t>)</w:t>
      </w:r>
      <w:r w:rsidR="002E2A6C" w:rsidRPr="00E74148">
        <w:rPr>
          <w:rFonts w:ascii="Times New Roman" w:hAnsi="Times New Roman" w:cs="Times New Roman"/>
          <w:sz w:val="24"/>
          <w:szCs w:val="24"/>
          <w:vertAlign w:val="superscript"/>
        </w:rPr>
        <w:footnoteReference w:id="43"/>
      </w:r>
      <w:r w:rsidR="006009A3">
        <w:rPr>
          <w:rFonts w:ascii="Times New Roman" w:hAnsi="Times New Roman" w:cs="Times New Roman"/>
          <w:sz w:val="24"/>
          <w:szCs w:val="24"/>
        </w:rPr>
        <w:t>—</w:t>
      </w:r>
      <w:r w:rsidR="00FD2377">
        <w:rPr>
          <w:rFonts w:ascii="Times New Roman" w:hAnsi="Times New Roman" w:cs="Times New Roman"/>
          <w:sz w:val="24"/>
          <w:szCs w:val="24"/>
        </w:rPr>
        <w:t xml:space="preserve">excessively </w:t>
      </w:r>
      <w:r w:rsidR="002E2A6C" w:rsidRPr="00E74148">
        <w:rPr>
          <w:rFonts w:ascii="Times New Roman" w:hAnsi="Times New Roman" w:cs="Times New Roman"/>
          <w:sz w:val="24"/>
          <w:szCs w:val="24"/>
        </w:rPr>
        <w:t>draconian cut</w:t>
      </w:r>
      <w:r w:rsidR="006009A3">
        <w:rPr>
          <w:rFonts w:ascii="Times New Roman" w:hAnsi="Times New Roman" w:cs="Times New Roman"/>
          <w:sz w:val="24"/>
          <w:szCs w:val="24"/>
        </w:rPr>
        <w:t xml:space="preserve">s in federal aid </w:t>
      </w:r>
      <w:r w:rsidR="00C317F6" w:rsidRPr="00E74148">
        <w:rPr>
          <w:rFonts w:ascii="Times New Roman" w:hAnsi="Times New Roman" w:cs="Times New Roman"/>
          <w:sz w:val="24"/>
          <w:szCs w:val="24"/>
        </w:rPr>
        <w:t xml:space="preserve">would hurt </w:t>
      </w:r>
      <w:r w:rsidR="006009A3">
        <w:rPr>
          <w:rFonts w:ascii="Times New Roman" w:hAnsi="Times New Roman" w:cs="Times New Roman"/>
          <w:sz w:val="24"/>
          <w:szCs w:val="24"/>
        </w:rPr>
        <w:t xml:space="preserve">the same </w:t>
      </w:r>
      <w:r w:rsidR="00C317F6" w:rsidRPr="00E74148">
        <w:rPr>
          <w:rFonts w:ascii="Times New Roman" w:hAnsi="Times New Roman" w:cs="Times New Roman"/>
          <w:sz w:val="24"/>
          <w:szCs w:val="24"/>
        </w:rPr>
        <w:t>students</w:t>
      </w:r>
      <w:r w:rsidR="006009A3">
        <w:rPr>
          <w:rFonts w:ascii="Times New Roman" w:hAnsi="Times New Roman" w:cs="Times New Roman"/>
          <w:sz w:val="24"/>
          <w:szCs w:val="24"/>
        </w:rPr>
        <w:t xml:space="preserve"> the tougher standards are intended to help.</w:t>
      </w:r>
    </w:p>
    <w:p w14:paraId="33D9A506" w14:textId="261A6D95" w:rsidR="00622A4D" w:rsidRPr="00E74148" w:rsidRDefault="00EA1966" w:rsidP="00587A12">
      <w:pPr>
        <w:spacing w:line="240" w:lineRule="auto"/>
        <w:ind w:firstLine="720"/>
        <w:rPr>
          <w:rFonts w:ascii="Times New Roman" w:hAnsi="Times New Roman" w:cs="Times New Roman"/>
          <w:sz w:val="24"/>
          <w:szCs w:val="24"/>
        </w:rPr>
      </w:pPr>
      <w:r>
        <w:rPr>
          <w:rFonts w:ascii="Times New Roman" w:hAnsi="Times New Roman" w:cs="Times New Roman"/>
          <w:sz w:val="24"/>
          <w:szCs w:val="24"/>
        </w:rPr>
        <w:t>Instead</w:t>
      </w:r>
      <w:r w:rsidR="002E2A6C" w:rsidRPr="00E74148">
        <w:rPr>
          <w:rFonts w:ascii="Times New Roman" w:hAnsi="Times New Roman" w:cs="Times New Roman"/>
          <w:sz w:val="24"/>
          <w:szCs w:val="24"/>
        </w:rPr>
        <w:t xml:space="preserve">, policymakers </w:t>
      </w:r>
      <w:r>
        <w:rPr>
          <w:rFonts w:ascii="Times New Roman" w:hAnsi="Times New Roman" w:cs="Times New Roman"/>
          <w:sz w:val="24"/>
          <w:szCs w:val="24"/>
        </w:rPr>
        <w:t xml:space="preserve">could </w:t>
      </w:r>
      <w:r w:rsidR="000607A4">
        <w:rPr>
          <w:rFonts w:ascii="Times New Roman" w:hAnsi="Times New Roman" w:cs="Times New Roman"/>
          <w:sz w:val="24"/>
          <w:szCs w:val="24"/>
        </w:rPr>
        <w:t>make</w:t>
      </w:r>
      <w:r w:rsidR="002E2A6C" w:rsidRPr="00E74148">
        <w:rPr>
          <w:rFonts w:ascii="Times New Roman" w:hAnsi="Times New Roman" w:cs="Times New Roman"/>
          <w:sz w:val="24"/>
          <w:szCs w:val="24"/>
        </w:rPr>
        <w:t xml:space="preserve"> failing schools ineligible for </w:t>
      </w:r>
      <w:r>
        <w:rPr>
          <w:rFonts w:ascii="Times New Roman" w:hAnsi="Times New Roman" w:cs="Times New Roman"/>
          <w:sz w:val="24"/>
          <w:szCs w:val="24"/>
        </w:rPr>
        <w:t xml:space="preserve">student </w:t>
      </w:r>
      <w:r w:rsidR="002E2A6C" w:rsidRPr="00E74148">
        <w:rPr>
          <w:rFonts w:ascii="Times New Roman" w:hAnsi="Times New Roman" w:cs="Times New Roman"/>
          <w:sz w:val="24"/>
          <w:szCs w:val="24"/>
        </w:rPr>
        <w:t>loan</w:t>
      </w:r>
      <w:r>
        <w:rPr>
          <w:rFonts w:ascii="Times New Roman" w:hAnsi="Times New Roman" w:cs="Times New Roman"/>
          <w:sz w:val="24"/>
          <w:szCs w:val="24"/>
        </w:rPr>
        <w:t>s</w:t>
      </w:r>
      <w:r w:rsidR="002E2A6C" w:rsidRPr="00E74148">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2E2A6C" w:rsidRPr="00E74148">
        <w:rPr>
          <w:rFonts w:ascii="Times New Roman" w:hAnsi="Times New Roman" w:cs="Times New Roman"/>
          <w:sz w:val="24"/>
          <w:szCs w:val="24"/>
        </w:rPr>
        <w:t>maintain their students’ Pell Gra</w:t>
      </w:r>
      <w:r>
        <w:rPr>
          <w:rFonts w:ascii="Times New Roman" w:hAnsi="Times New Roman" w:cs="Times New Roman"/>
          <w:sz w:val="24"/>
          <w:szCs w:val="24"/>
        </w:rPr>
        <w:t>nt</w:t>
      </w:r>
      <w:r w:rsidR="00A86FA6">
        <w:rPr>
          <w:rFonts w:ascii="Times New Roman" w:hAnsi="Times New Roman" w:cs="Times New Roman"/>
          <w:sz w:val="24"/>
          <w:szCs w:val="24"/>
        </w:rPr>
        <w:t xml:space="preserve"> eligibility. Because community </w:t>
      </w:r>
      <w:r w:rsidR="002E2A6C" w:rsidRPr="00E74148">
        <w:rPr>
          <w:rFonts w:ascii="Times New Roman" w:hAnsi="Times New Roman" w:cs="Times New Roman"/>
          <w:sz w:val="24"/>
          <w:szCs w:val="24"/>
        </w:rPr>
        <w:t>college students</w:t>
      </w:r>
      <w:r>
        <w:rPr>
          <w:rFonts w:ascii="Times New Roman" w:hAnsi="Times New Roman" w:cs="Times New Roman"/>
          <w:sz w:val="24"/>
          <w:szCs w:val="24"/>
        </w:rPr>
        <w:t xml:space="preserve"> benefit least from </w:t>
      </w:r>
      <w:r w:rsidR="00587A12">
        <w:rPr>
          <w:rFonts w:ascii="Times New Roman" w:hAnsi="Times New Roman" w:cs="Times New Roman"/>
          <w:sz w:val="24"/>
          <w:szCs w:val="24"/>
        </w:rPr>
        <w:t xml:space="preserve">federal </w:t>
      </w:r>
      <w:r w:rsidR="002E2A6C" w:rsidRPr="00E74148">
        <w:rPr>
          <w:rFonts w:ascii="Times New Roman" w:hAnsi="Times New Roman" w:cs="Times New Roman"/>
          <w:sz w:val="24"/>
          <w:szCs w:val="24"/>
        </w:rPr>
        <w:t>loan</w:t>
      </w:r>
      <w:r w:rsidR="00587A12">
        <w:rPr>
          <w:rFonts w:ascii="Times New Roman" w:hAnsi="Times New Roman" w:cs="Times New Roman"/>
          <w:sz w:val="24"/>
          <w:szCs w:val="24"/>
        </w:rPr>
        <w:t>s</w:t>
      </w:r>
      <w:r w:rsidR="002E2A6C" w:rsidRPr="00E74148">
        <w:rPr>
          <w:rFonts w:ascii="Times New Roman" w:hAnsi="Times New Roman" w:cs="Times New Roman"/>
          <w:sz w:val="24"/>
          <w:szCs w:val="24"/>
        </w:rPr>
        <w:t xml:space="preserve">, such a compromise would </w:t>
      </w:r>
      <w:r w:rsidR="000607A4">
        <w:rPr>
          <w:rFonts w:ascii="Times New Roman" w:hAnsi="Times New Roman" w:cs="Times New Roman"/>
          <w:sz w:val="24"/>
          <w:szCs w:val="24"/>
        </w:rPr>
        <w:t xml:space="preserve">offer </w:t>
      </w:r>
      <w:r w:rsidR="002E2A6C" w:rsidRPr="00E74148">
        <w:rPr>
          <w:rFonts w:ascii="Times New Roman" w:hAnsi="Times New Roman" w:cs="Times New Roman"/>
          <w:sz w:val="24"/>
          <w:szCs w:val="24"/>
        </w:rPr>
        <w:t>underperforming</w:t>
      </w:r>
      <w:r w:rsidR="00587A12">
        <w:rPr>
          <w:rFonts w:ascii="Times New Roman" w:hAnsi="Times New Roman" w:cs="Times New Roman"/>
          <w:sz w:val="24"/>
          <w:szCs w:val="24"/>
        </w:rPr>
        <w:t xml:space="preserve"> community colleges</w:t>
      </w:r>
      <w:r w:rsidR="000607A4">
        <w:rPr>
          <w:rFonts w:ascii="Times New Roman" w:hAnsi="Times New Roman" w:cs="Times New Roman"/>
          <w:sz w:val="24"/>
          <w:szCs w:val="24"/>
        </w:rPr>
        <w:t xml:space="preserve"> strong incentives to improve without threatening</w:t>
      </w:r>
      <w:r w:rsidR="002E2A6C" w:rsidRPr="00E74148">
        <w:rPr>
          <w:rFonts w:ascii="Times New Roman" w:hAnsi="Times New Roman" w:cs="Times New Roman"/>
          <w:sz w:val="24"/>
          <w:szCs w:val="24"/>
        </w:rPr>
        <w:t xml:space="preserve"> </w:t>
      </w:r>
      <w:r w:rsidR="000607A4">
        <w:rPr>
          <w:rFonts w:ascii="Times New Roman" w:hAnsi="Times New Roman" w:cs="Times New Roman"/>
          <w:sz w:val="24"/>
          <w:szCs w:val="24"/>
        </w:rPr>
        <w:t xml:space="preserve">to shut them down entirely. </w:t>
      </w:r>
      <w:r w:rsidR="00C317F6" w:rsidRPr="00E74148">
        <w:rPr>
          <w:rFonts w:ascii="Times New Roman" w:hAnsi="Times New Roman" w:cs="Times New Roman"/>
          <w:sz w:val="24"/>
          <w:szCs w:val="24"/>
        </w:rPr>
        <w:t>Once</w:t>
      </w:r>
      <w:r w:rsidR="000607A4">
        <w:rPr>
          <w:rFonts w:ascii="Times New Roman" w:hAnsi="Times New Roman" w:cs="Times New Roman"/>
          <w:sz w:val="24"/>
          <w:szCs w:val="24"/>
        </w:rPr>
        <w:t xml:space="preserve"> such schools demonstrated</w:t>
      </w:r>
      <w:r w:rsidR="00C317F6" w:rsidRPr="00E74148">
        <w:rPr>
          <w:rFonts w:ascii="Times New Roman" w:hAnsi="Times New Roman" w:cs="Times New Roman"/>
          <w:sz w:val="24"/>
          <w:szCs w:val="24"/>
        </w:rPr>
        <w:t xml:space="preserve"> </w:t>
      </w:r>
      <w:r w:rsidR="000607A4">
        <w:rPr>
          <w:rFonts w:ascii="Times New Roman" w:hAnsi="Times New Roman" w:cs="Times New Roman"/>
          <w:sz w:val="24"/>
          <w:szCs w:val="24"/>
        </w:rPr>
        <w:t xml:space="preserve">sufficient </w:t>
      </w:r>
      <w:r w:rsidR="00C317F6" w:rsidRPr="00E74148">
        <w:rPr>
          <w:rFonts w:ascii="Times New Roman" w:hAnsi="Times New Roman" w:cs="Times New Roman"/>
          <w:sz w:val="24"/>
          <w:szCs w:val="24"/>
        </w:rPr>
        <w:t xml:space="preserve">improvement in </w:t>
      </w:r>
      <w:r w:rsidR="007360DC">
        <w:rPr>
          <w:rFonts w:ascii="Times New Roman" w:hAnsi="Times New Roman" w:cs="Times New Roman"/>
          <w:sz w:val="24"/>
          <w:szCs w:val="24"/>
        </w:rPr>
        <w:t>loan-</w:t>
      </w:r>
      <w:r w:rsidR="00C317F6" w:rsidRPr="00E74148">
        <w:rPr>
          <w:rFonts w:ascii="Times New Roman" w:hAnsi="Times New Roman" w:cs="Times New Roman"/>
          <w:sz w:val="24"/>
          <w:szCs w:val="24"/>
        </w:rPr>
        <w:t xml:space="preserve">default and </w:t>
      </w:r>
      <w:r w:rsidR="000607A4">
        <w:rPr>
          <w:rFonts w:ascii="Times New Roman" w:hAnsi="Times New Roman" w:cs="Times New Roman"/>
          <w:sz w:val="24"/>
          <w:szCs w:val="24"/>
        </w:rPr>
        <w:t>graduation</w:t>
      </w:r>
      <w:r w:rsidR="007360DC">
        <w:rPr>
          <w:rFonts w:ascii="Times New Roman" w:hAnsi="Times New Roman" w:cs="Times New Roman"/>
          <w:sz w:val="24"/>
          <w:szCs w:val="24"/>
        </w:rPr>
        <w:t xml:space="preserve"> rates</w:t>
      </w:r>
      <w:r w:rsidR="00C317F6" w:rsidRPr="00E74148">
        <w:rPr>
          <w:rFonts w:ascii="Times New Roman" w:hAnsi="Times New Roman" w:cs="Times New Roman"/>
          <w:sz w:val="24"/>
          <w:szCs w:val="24"/>
        </w:rPr>
        <w:t xml:space="preserve">, </w:t>
      </w:r>
      <w:r w:rsidR="00783120">
        <w:rPr>
          <w:rFonts w:ascii="Times New Roman" w:hAnsi="Times New Roman" w:cs="Times New Roman"/>
          <w:sz w:val="24"/>
          <w:szCs w:val="24"/>
        </w:rPr>
        <w:t>federal student-loan eligibility could be restored.</w:t>
      </w:r>
    </w:p>
    <w:p w14:paraId="3F9CB883" w14:textId="6FFC9DCA" w:rsidR="002E6526" w:rsidRPr="00E74148" w:rsidRDefault="00733BCB" w:rsidP="00733BCB">
      <w:pPr>
        <w:tabs>
          <w:tab w:val="left" w:pos="3327"/>
        </w:tabs>
        <w:spacing w:line="240" w:lineRule="auto"/>
        <w:ind w:firstLine="720"/>
        <w:rPr>
          <w:rFonts w:ascii="Times New Roman" w:hAnsi="Times New Roman" w:cs="Times New Roman"/>
          <w:sz w:val="24"/>
          <w:szCs w:val="24"/>
        </w:rPr>
      </w:pPr>
      <w:r>
        <w:rPr>
          <w:rFonts w:ascii="Times New Roman" w:hAnsi="Times New Roman" w:cs="Times New Roman"/>
          <w:sz w:val="24"/>
          <w:szCs w:val="24"/>
        </w:rPr>
        <w:t>The second</w:t>
      </w:r>
      <w:r w:rsidR="00FC69D1">
        <w:rPr>
          <w:rFonts w:ascii="Times New Roman" w:hAnsi="Times New Roman" w:cs="Times New Roman"/>
          <w:sz w:val="24"/>
          <w:szCs w:val="24"/>
        </w:rPr>
        <w:t xml:space="preserve"> broad</w:t>
      </w:r>
      <w:r>
        <w:rPr>
          <w:rFonts w:ascii="Times New Roman" w:hAnsi="Times New Roman" w:cs="Times New Roman"/>
          <w:sz w:val="24"/>
          <w:szCs w:val="24"/>
        </w:rPr>
        <w:t xml:space="preserve"> federal funding </w:t>
      </w:r>
      <w:r w:rsidR="008E2271">
        <w:rPr>
          <w:rFonts w:ascii="Times New Roman" w:hAnsi="Times New Roman" w:cs="Times New Roman"/>
          <w:sz w:val="24"/>
          <w:szCs w:val="24"/>
        </w:rPr>
        <w:t xml:space="preserve">reform </w:t>
      </w:r>
      <w:r>
        <w:rPr>
          <w:rFonts w:ascii="Times New Roman" w:hAnsi="Times New Roman" w:cs="Times New Roman"/>
          <w:sz w:val="24"/>
          <w:szCs w:val="24"/>
        </w:rPr>
        <w:t xml:space="preserve">should be </w:t>
      </w:r>
      <w:r w:rsidR="001B7630" w:rsidRPr="00E74148">
        <w:rPr>
          <w:rFonts w:ascii="Times New Roman" w:hAnsi="Times New Roman" w:cs="Times New Roman"/>
          <w:sz w:val="24"/>
          <w:szCs w:val="24"/>
        </w:rPr>
        <w:t xml:space="preserve">directed </w:t>
      </w:r>
      <w:r>
        <w:rPr>
          <w:rFonts w:ascii="Times New Roman" w:hAnsi="Times New Roman" w:cs="Times New Roman"/>
          <w:sz w:val="24"/>
          <w:szCs w:val="24"/>
        </w:rPr>
        <w:t xml:space="preserve">at </w:t>
      </w:r>
      <w:r w:rsidR="00F372E1">
        <w:rPr>
          <w:rFonts w:ascii="Times New Roman" w:hAnsi="Times New Roman" w:cs="Times New Roman"/>
          <w:sz w:val="24"/>
          <w:szCs w:val="24"/>
        </w:rPr>
        <w:t xml:space="preserve">community college </w:t>
      </w:r>
      <w:r>
        <w:rPr>
          <w:rFonts w:ascii="Times New Roman" w:hAnsi="Times New Roman" w:cs="Times New Roman"/>
          <w:sz w:val="24"/>
          <w:szCs w:val="24"/>
        </w:rPr>
        <w:t>students. P</w:t>
      </w:r>
      <w:r w:rsidR="002E6526" w:rsidRPr="00E74148">
        <w:rPr>
          <w:rFonts w:ascii="Times New Roman" w:hAnsi="Times New Roman" w:cs="Times New Roman"/>
          <w:sz w:val="24"/>
          <w:szCs w:val="24"/>
        </w:rPr>
        <w:t xml:space="preserve">olicymakers </w:t>
      </w:r>
      <w:r>
        <w:rPr>
          <w:rFonts w:ascii="Times New Roman" w:hAnsi="Times New Roman" w:cs="Times New Roman"/>
          <w:sz w:val="24"/>
          <w:szCs w:val="24"/>
        </w:rPr>
        <w:t xml:space="preserve">should </w:t>
      </w:r>
      <w:r w:rsidR="002E6526" w:rsidRPr="00E74148">
        <w:rPr>
          <w:rFonts w:ascii="Times New Roman" w:hAnsi="Times New Roman" w:cs="Times New Roman"/>
          <w:sz w:val="24"/>
          <w:szCs w:val="24"/>
        </w:rPr>
        <w:t xml:space="preserve">incentivize students to graduate quickly by making the generosity of aid </w:t>
      </w:r>
      <w:r w:rsidR="000A1AE5">
        <w:rPr>
          <w:rFonts w:ascii="Times New Roman" w:hAnsi="Times New Roman" w:cs="Times New Roman"/>
          <w:sz w:val="24"/>
          <w:szCs w:val="24"/>
        </w:rPr>
        <w:t xml:space="preserve">contingent on </w:t>
      </w:r>
      <w:r w:rsidR="002E6526" w:rsidRPr="00E74148">
        <w:rPr>
          <w:rFonts w:ascii="Times New Roman" w:hAnsi="Times New Roman" w:cs="Times New Roman"/>
          <w:sz w:val="24"/>
          <w:szCs w:val="24"/>
        </w:rPr>
        <w:t xml:space="preserve">progress. Students currently become ineligible for </w:t>
      </w:r>
      <w:r w:rsidR="000A1AE5">
        <w:rPr>
          <w:rFonts w:ascii="Times New Roman" w:hAnsi="Times New Roman" w:cs="Times New Roman"/>
          <w:sz w:val="24"/>
          <w:szCs w:val="24"/>
        </w:rPr>
        <w:t>direct, subsidized federal loans after 150 p</w:t>
      </w:r>
      <w:r w:rsidR="00A86FA6">
        <w:rPr>
          <w:rFonts w:ascii="Times New Roman" w:hAnsi="Times New Roman" w:cs="Times New Roman"/>
          <w:sz w:val="24"/>
          <w:szCs w:val="24"/>
        </w:rPr>
        <w:t>ercent</w:t>
      </w:r>
      <w:r w:rsidR="00FC69D1">
        <w:rPr>
          <w:rFonts w:ascii="Times New Roman" w:hAnsi="Times New Roman" w:cs="Times New Roman"/>
          <w:sz w:val="24"/>
          <w:szCs w:val="24"/>
        </w:rPr>
        <w:t xml:space="preserve"> </w:t>
      </w:r>
      <w:r w:rsidR="002E6526" w:rsidRPr="00E74148">
        <w:rPr>
          <w:rFonts w:ascii="Times New Roman" w:hAnsi="Times New Roman" w:cs="Times New Roman"/>
          <w:sz w:val="24"/>
          <w:szCs w:val="24"/>
        </w:rPr>
        <w:t>of the normal completion time</w:t>
      </w:r>
      <w:r w:rsidR="008A2B69" w:rsidRPr="008A2B69">
        <w:rPr>
          <w:rFonts w:ascii="Times New Roman" w:hAnsi="Times New Roman" w:cs="Times New Roman"/>
          <w:sz w:val="24"/>
          <w:szCs w:val="24"/>
        </w:rPr>
        <w:t xml:space="preserve"> </w:t>
      </w:r>
      <w:r w:rsidR="008A2B69" w:rsidRPr="00E74148">
        <w:rPr>
          <w:rFonts w:ascii="Times New Roman" w:hAnsi="Times New Roman" w:cs="Times New Roman"/>
          <w:sz w:val="24"/>
          <w:szCs w:val="24"/>
        </w:rPr>
        <w:t>for their program</w:t>
      </w:r>
      <w:r w:rsidR="008A2B69">
        <w:rPr>
          <w:rFonts w:ascii="Times New Roman" w:hAnsi="Times New Roman" w:cs="Times New Roman"/>
          <w:sz w:val="24"/>
          <w:szCs w:val="24"/>
        </w:rPr>
        <w:t>s</w:t>
      </w:r>
      <w:r w:rsidR="00FC69D1">
        <w:rPr>
          <w:rFonts w:ascii="Times New Roman" w:hAnsi="Times New Roman" w:cs="Times New Roman"/>
          <w:sz w:val="24"/>
          <w:szCs w:val="24"/>
        </w:rPr>
        <w:t>—three years, in the case of community college students—</w:t>
      </w:r>
      <w:r w:rsidR="008A2B69">
        <w:rPr>
          <w:rFonts w:ascii="Times New Roman" w:hAnsi="Times New Roman" w:cs="Times New Roman"/>
          <w:sz w:val="24"/>
          <w:szCs w:val="24"/>
        </w:rPr>
        <w:t>elapses</w:t>
      </w:r>
      <w:r w:rsidR="002E6526" w:rsidRPr="00E74148">
        <w:rPr>
          <w:rFonts w:ascii="Times New Roman" w:hAnsi="Times New Roman" w:cs="Times New Roman"/>
          <w:sz w:val="24"/>
          <w:szCs w:val="24"/>
        </w:rPr>
        <w:t>.</w:t>
      </w:r>
      <w:r w:rsidR="002E6526" w:rsidRPr="00E74148">
        <w:rPr>
          <w:rFonts w:ascii="Times New Roman" w:hAnsi="Times New Roman" w:cs="Times New Roman"/>
          <w:sz w:val="24"/>
          <w:szCs w:val="24"/>
          <w:vertAlign w:val="superscript"/>
        </w:rPr>
        <w:footnoteReference w:id="44"/>
      </w:r>
      <w:r w:rsidR="002E6526" w:rsidRPr="00E74148">
        <w:rPr>
          <w:rFonts w:ascii="Times New Roman" w:hAnsi="Times New Roman" w:cs="Times New Roman"/>
          <w:sz w:val="24"/>
          <w:szCs w:val="24"/>
        </w:rPr>
        <w:t xml:space="preserve"> This </w:t>
      </w:r>
      <w:r w:rsidR="000A1AE5">
        <w:rPr>
          <w:rFonts w:ascii="Times New Roman" w:hAnsi="Times New Roman" w:cs="Times New Roman"/>
          <w:sz w:val="24"/>
          <w:szCs w:val="24"/>
        </w:rPr>
        <w:t xml:space="preserve">rule should be extended to </w:t>
      </w:r>
      <w:r w:rsidR="002E6526" w:rsidRPr="00E74148">
        <w:rPr>
          <w:rFonts w:ascii="Times New Roman" w:hAnsi="Times New Roman" w:cs="Times New Roman"/>
          <w:sz w:val="24"/>
          <w:szCs w:val="24"/>
        </w:rPr>
        <w:t xml:space="preserve">unsubsidized </w:t>
      </w:r>
      <w:r w:rsidR="000A1AE5">
        <w:rPr>
          <w:rFonts w:ascii="Times New Roman" w:hAnsi="Times New Roman" w:cs="Times New Roman"/>
          <w:sz w:val="24"/>
          <w:szCs w:val="24"/>
        </w:rPr>
        <w:t xml:space="preserve">federal </w:t>
      </w:r>
      <w:r w:rsidR="002E6526" w:rsidRPr="00E74148">
        <w:rPr>
          <w:rFonts w:ascii="Times New Roman" w:hAnsi="Times New Roman" w:cs="Times New Roman"/>
          <w:sz w:val="24"/>
          <w:szCs w:val="24"/>
        </w:rPr>
        <w:t>loan</w:t>
      </w:r>
      <w:r w:rsidR="008A2B69">
        <w:rPr>
          <w:rFonts w:ascii="Times New Roman" w:hAnsi="Times New Roman" w:cs="Times New Roman"/>
          <w:sz w:val="24"/>
          <w:szCs w:val="24"/>
        </w:rPr>
        <w:t>s</w:t>
      </w:r>
      <w:r w:rsidR="000A1AE5">
        <w:rPr>
          <w:rFonts w:ascii="Times New Roman" w:hAnsi="Times New Roman" w:cs="Times New Roman"/>
          <w:sz w:val="24"/>
          <w:szCs w:val="24"/>
        </w:rPr>
        <w:t xml:space="preserve">—either by </w:t>
      </w:r>
      <w:r w:rsidR="002E6526" w:rsidRPr="00E74148">
        <w:rPr>
          <w:rFonts w:ascii="Times New Roman" w:hAnsi="Times New Roman" w:cs="Times New Roman"/>
          <w:sz w:val="24"/>
          <w:szCs w:val="24"/>
        </w:rPr>
        <w:t xml:space="preserve">increasing the </w:t>
      </w:r>
      <w:r w:rsidR="000A1AE5">
        <w:rPr>
          <w:rFonts w:ascii="Times New Roman" w:hAnsi="Times New Roman" w:cs="Times New Roman"/>
          <w:sz w:val="24"/>
          <w:szCs w:val="24"/>
        </w:rPr>
        <w:t xml:space="preserve">rate of </w:t>
      </w:r>
      <w:r w:rsidR="002E6526" w:rsidRPr="00E74148">
        <w:rPr>
          <w:rFonts w:ascii="Times New Roman" w:hAnsi="Times New Roman" w:cs="Times New Roman"/>
          <w:sz w:val="24"/>
          <w:szCs w:val="24"/>
        </w:rPr>
        <w:t xml:space="preserve">interest </w:t>
      </w:r>
      <w:r w:rsidR="000A1AE5">
        <w:rPr>
          <w:rFonts w:ascii="Times New Roman" w:hAnsi="Times New Roman" w:cs="Times New Roman"/>
          <w:sz w:val="24"/>
          <w:szCs w:val="24"/>
        </w:rPr>
        <w:t xml:space="preserve">that students are charged or by reducing the maximum loan that </w:t>
      </w:r>
      <w:r w:rsidR="002E6526" w:rsidRPr="00E74148">
        <w:rPr>
          <w:rFonts w:ascii="Times New Roman" w:hAnsi="Times New Roman" w:cs="Times New Roman"/>
          <w:sz w:val="24"/>
          <w:szCs w:val="24"/>
        </w:rPr>
        <w:t xml:space="preserve">students </w:t>
      </w:r>
      <w:r w:rsidR="000A1AE5">
        <w:rPr>
          <w:rFonts w:ascii="Times New Roman" w:hAnsi="Times New Roman" w:cs="Times New Roman"/>
          <w:sz w:val="24"/>
          <w:szCs w:val="24"/>
        </w:rPr>
        <w:t xml:space="preserve">can </w:t>
      </w:r>
      <w:r w:rsidR="002E6526" w:rsidRPr="00E74148">
        <w:rPr>
          <w:rFonts w:ascii="Times New Roman" w:hAnsi="Times New Roman" w:cs="Times New Roman"/>
          <w:sz w:val="24"/>
          <w:szCs w:val="24"/>
        </w:rPr>
        <w:t>r</w:t>
      </w:r>
      <w:r w:rsidR="00F372E1">
        <w:rPr>
          <w:rFonts w:ascii="Times New Roman" w:hAnsi="Times New Roman" w:cs="Times New Roman"/>
          <w:sz w:val="24"/>
          <w:szCs w:val="24"/>
        </w:rPr>
        <w:t>eceive after their fourth year.</w:t>
      </w:r>
    </w:p>
    <w:p w14:paraId="7A5F518D" w14:textId="15A595AD" w:rsidR="002E6526" w:rsidRPr="00E74148" w:rsidRDefault="00D66044" w:rsidP="000A1AE5">
      <w:pPr>
        <w:spacing w:line="240" w:lineRule="auto"/>
        <w:ind w:firstLine="720"/>
        <w:rPr>
          <w:rFonts w:ascii="Times New Roman" w:hAnsi="Times New Roman" w:cs="Times New Roman"/>
          <w:sz w:val="24"/>
          <w:szCs w:val="24"/>
        </w:rPr>
      </w:pPr>
      <w:r w:rsidRPr="00D66044">
        <w:rPr>
          <w:rFonts w:ascii="Times New Roman" w:hAnsi="Times New Roman" w:cs="Times New Roman"/>
          <w:sz w:val="24"/>
          <w:szCs w:val="24"/>
        </w:rPr>
        <w:t>Similarly, p</w:t>
      </w:r>
      <w:r w:rsidR="002E6526" w:rsidRPr="00D66044">
        <w:rPr>
          <w:rFonts w:ascii="Times New Roman" w:hAnsi="Times New Roman" w:cs="Times New Roman"/>
          <w:sz w:val="24"/>
          <w:szCs w:val="24"/>
        </w:rPr>
        <w:t xml:space="preserve">olicymakers should </w:t>
      </w:r>
      <w:r w:rsidR="005D7C1F">
        <w:rPr>
          <w:rFonts w:ascii="Times New Roman" w:hAnsi="Times New Roman" w:cs="Times New Roman"/>
          <w:sz w:val="24"/>
          <w:szCs w:val="24"/>
        </w:rPr>
        <w:t>change</w:t>
      </w:r>
      <w:r w:rsidR="002E6526" w:rsidRPr="00E74148">
        <w:rPr>
          <w:rFonts w:ascii="Times New Roman" w:hAnsi="Times New Roman" w:cs="Times New Roman"/>
          <w:sz w:val="24"/>
          <w:szCs w:val="24"/>
        </w:rPr>
        <w:t xml:space="preserve"> </w:t>
      </w:r>
      <w:r w:rsidR="005D7C1F">
        <w:rPr>
          <w:rFonts w:ascii="Times New Roman" w:hAnsi="Times New Roman" w:cs="Times New Roman"/>
          <w:sz w:val="24"/>
          <w:szCs w:val="24"/>
        </w:rPr>
        <w:t>grant-</w:t>
      </w:r>
      <w:r w:rsidR="002E6526" w:rsidRPr="00E74148">
        <w:rPr>
          <w:rFonts w:ascii="Times New Roman" w:hAnsi="Times New Roman" w:cs="Times New Roman"/>
          <w:sz w:val="24"/>
          <w:szCs w:val="24"/>
        </w:rPr>
        <w:t>eligibility</w:t>
      </w:r>
      <w:r w:rsidR="005D7C1F">
        <w:rPr>
          <w:rFonts w:ascii="Times New Roman" w:hAnsi="Times New Roman" w:cs="Times New Roman"/>
          <w:sz w:val="24"/>
          <w:szCs w:val="24"/>
        </w:rPr>
        <w:t xml:space="preserve"> rules</w:t>
      </w:r>
      <w:r w:rsidR="00A92E14">
        <w:rPr>
          <w:rFonts w:ascii="Times New Roman" w:hAnsi="Times New Roman" w:cs="Times New Roman"/>
          <w:sz w:val="24"/>
          <w:szCs w:val="24"/>
        </w:rPr>
        <w:t>.</w:t>
      </w:r>
      <w:r w:rsidR="002E6526" w:rsidRPr="00E74148">
        <w:rPr>
          <w:rFonts w:ascii="Times New Roman" w:hAnsi="Times New Roman" w:cs="Times New Roman"/>
          <w:sz w:val="24"/>
          <w:szCs w:val="24"/>
        </w:rPr>
        <w:t xml:space="preserve"> Curren</w:t>
      </w:r>
      <w:r w:rsidR="00792CB9">
        <w:rPr>
          <w:rFonts w:ascii="Times New Roman" w:hAnsi="Times New Roman" w:cs="Times New Roman"/>
          <w:sz w:val="24"/>
          <w:szCs w:val="24"/>
        </w:rPr>
        <w:t>tly, students can receive Pell G</w:t>
      </w:r>
      <w:r w:rsidR="002E6526" w:rsidRPr="00E74148">
        <w:rPr>
          <w:rFonts w:ascii="Times New Roman" w:hAnsi="Times New Roman" w:cs="Times New Roman"/>
          <w:sz w:val="24"/>
          <w:szCs w:val="24"/>
        </w:rPr>
        <w:t>rants for</w:t>
      </w:r>
      <w:r w:rsidR="00792CB9">
        <w:rPr>
          <w:rFonts w:ascii="Times New Roman" w:hAnsi="Times New Roman" w:cs="Times New Roman"/>
          <w:sz w:val="24"/>
          <w:szCs w:val="24"/>
        </w:rPr>
        <w:t xml:space="preserve"> no more than twelve semesters (</w:t>
      </w:r>
      <w:r w:rsidR="002E6526" w:rsidRPr="00E74148">
        <w:rPr>
          <w:rFonts w:ascii="Times New Roman" w:hAnsi="Times New Roman" w:cs="Times New Roman"/>
          <w:sz w:val="24"/>
          <w:szCs w:val="24"/>
        </w:rPr>
        <w:t>which generally translates to six years</w:t>
      </w:r>
      <w:r w:rsidR="00792CB9">
        <w:rPr>
          <w:rFonts w:ascii="Times New Roman" w:hAnsi="Times New Roman" w:cs="Times New Roman"/>
          <w:sz w:val="24"/>
          <w:szCs w:val="24"/>
        </w:rPr>
        <w:t>)</w:t>
      </w:r>
      <w:r w:rsidR="002E6526" w:rsidRPr="00E74148">
        <w:rPr>
          <w:rFonts w:ascii="Times New Roman" w:hAnsi="Times New Roman" w:cs="Times New Roman"/>
          <w:sz w:val="24"/>
          <w:szCs w:val="24"/>
        </w:rPr>
        <w:t>.</w:t>
      </w:r>
      <w:r w:rsidR="002E6526" w:rsidRPr="00E74148">
        <w:rPr>
          <w:rFonts w:ascii="Times New Roman" w:hAnsi="Times New Roman" w:cs="Times New Roman"/>
          <w:sz w:val="24"/>
          <w:szCs w:val="24"/>
          <w:vertAlign w:val="superscript"/>
        </w:rPr>
        <w:footnoteReference w:id="45"/>
      </w:r>
      <w:r w:rsidR="002E6526" w:rsidRPr="00E74148">
        <w:rPr>
          <w:rFonts w:ascii="Times New Roman" w:hAnsi="Times New Roman" w:cs="Times New Roman"/>
          <w:sz w:val="24"/>
          <w:szCs w:val="24"/>
        </w:rPr>
        <w:t xml:space="preserve"> This limitation is appropriate for students attending four-year colleges, but it gives community college students, who should technically finish after their second year, too </w:t>
      </w:r>
      <w:r w:rsidR="00FD3904">
        <w:rPr>
          <w:rFonts w:ascii="Times New Roman" w:hAnsi="Times New Roman" w:cs="Times New Roman"/>
          <w:sz w:val="24"/>
          <w:szCs w:val="24"/>
        </w:rPr>
        <w:t xml:space="preserve">little incentive to graduate on time. </w:t>
      </w:r>
      <w:r w:rsidR="00E74148" w:rsidRPr="00E74148">
        <w:rPr>
          <w:rFonts w:ascii="Times New Roman" w:hAnsi="Times New Roman" w:cs="Times New Roman"/>
          <w:sz w:val="24"/>
          <w:szCs w:val="24"/>
        </w:rPr>
        <w:t xml:space="preserve">A </w:t>
      </w:r>
      <w:r w:rsidR="00792CB9">
        <w:rPr>
          <w:rFonts w:ascii="Times New Roman" w:hAnsi="Times New Roman" w:cs="Times New Roman"/>
          <w:sz w:val="24"/>
          <w:szCs w:val="24"/>
        </w:rPr>
        <w:t xml:space="preserve">better </w:t>
      </w:r>
      <w:r w:rsidR="00E74148" w:rsidRPr="00E74148">
        <w:rPr>
          <w:rFonts w:ascii="Times New Roman" w:hAnsi="Times New Roman" w:cs="Times New Roman"/>
          <w:sz w:val="24"/>
          <w:szCs w:val="24"/>
        </w:rPr>
        <w:t>policy woul</w:t>
      </w:r>
      <w:r w:rsidR="00792CB9">
        <w:rPr>
          <w:rFonts w:ascii="Times New Roman" w:hAnsi="Times New Roman" w:cs="Times New Roman"/>
          <w:sz w:val="24"/>
          <w:szCs w:val="24"/>
        </w:rPr>
        <w:t>d reduce or eliminate Pell G</w:t>
      </w:r>
      <w:r w:rsidR="00E74148" w:rsidRPr="00E74148">
        <w:rPr>
          <w:rFonts w:ascii="Times New Roman" w:hAnsi="Times New Roman" w:cs="Times New Roman"/>
          <w:sz w:val="24"/>
          <w:szCs w:val="24"/>
        </w:rPr>
        <w:t>rant</w:t>
      </w:r>
      <w:r w:rsidR="00792CB9">
        <w:rPr>
          <w:rFonts w:ascii="Times New Roman" w:hAnsi="Times New Roman" w:cs="Times New Roman"/>
          <w:sz w:val="24"/>
          <w:szCs w:val="24"/>
        </w:rPr>
        <w:t>s</w:t>
      </w:r>
      <w:r w:rsidR="00E74148" w:rsidRPr="00E74148">
        <w:rPr>
          <w:rFonts w:ascii="Times New Roman" w:hAnsi="Times New Roman" w:cs="Times New Roman"/>
          <w:sz w:val="24"/>
          <w:szCs w:val="24"/>
        </w:rPr>
        <w:t xml:space="preserve"> </w:t>
      </w:r>
      <w:r w:rsidR="00792CB9">
        <w:rPr>
          <w:rFonts w:ascii="Times New Roman" w:hAnsi="Times New Roman" w:cs="Times New Roman"/>
          <w:sz w:val="24"/>
          <w:szCs w:val="24"/>
        </w:rPr>
        <w:t xml:space="preserve">for </w:t>
      </w:r>
      <w:r w:rsidR="00E74148" w:rsidRPr="00E74148">
        <w:rPr>
          <w:rFonts w:ascii="Times New Roman" w:hAnsi="Times New Roman" w:cs="Times New Roman"/>
          <w:sz w:val="24"/>
          <w:szCs w:val="24"/>
        </w:rPr>
        <w:t xml:space="preserve">community college students after eight </w:t>
      </w:r>
      <w:r w:rsidR="00E74148" w:rsidRPr="00F97D61">
        <w:rPr>
          <w:rFonts w:ascii="Times New Roman" w:hAnsi="Times New Roman" w:cs="Times New Roman"/>
          <w:bCs/>
          <w:sz w:val="24"/>
          <w:szCs w:val="24"/>
        </w:rPr>
        <w:t>semesters</w:t>
      </w:r>
      <w:r w:rsidR="00CD69D6">
        <w:rPr>
          <w:rFonts w:ascii="Times New Roman" w:hAnsi="Times New Roman" w:cs="Times New Roman"/>
          <w:sz w:val="24"/>
          <w:szCs w:val="24"/>
        </w:rPr>
        <w:t xml:space="preserve"> (</w:t>
      </w:r>
      <w:r w:rsidR="00E74148" w:rsidRPr="00E74148">
        <w:rPr>
          <w:rFonts w:ascii="Times New Roman" w:hAnsi="Times New Roman" w:cs="Times New Roman"/>
          <w:sz w:val="24"/>
          <w:szCs w:val="24"/>
        </w:rPr>
        <w:t xml:space="preserve">or four </w:t>
      </w:r>
      <w:r w:rsidR="00E74148" w:rsidRPr="00F97D61">
        <w:rPr>
          <w:rFonts w:ascii="Times New Roman" w:hAnsi="Times New Roman" w:cs="Times New Roman"/>
          <w:bCs/>
          <w:sz w:val="24"/>
          <w:szCs w:val="24"/>
        </w:rPr>
        <w:t>years</w:t>
      </w:r>
      <w:r w:rsidR="00C76A75">
        <w:rPr>
          <w:rFonts w:ascii="Times New Roman" w:hAnsi="Times New Roman" w:cs="Times New Roman"/>
          <w:bCs/>
          <w:sz w:val="24"/>
          <w:szCs w:val="24"/>
        </w:rPr>
        <w:t>)</w:t>
      </w:r>
      <w:r w:rsidR="00D21AD1">
        <w:rPr>
          <w:rFonts w:ascii="Times New Roman" w:hAnsi="Times New Roman" w:cs="Times New Roman"/>
          <w:bCs/>
          <w:sz w:val="24"/>
          <w:szCs w:val="24"/>
        </w:rPr>
        <w:t>.</w:t>
      </w:r>
    </w:p>
    <w:p w14:paraId="35C897DE" w14:textId="0E4C38DF" w:rsidR="00EB39DA" w:rsidRPr="00E74148" w:rsidRDefault="003E7A47" w:rsidP="00F97D61">
      <w:pPr>
        <w:spacing w:line="240" w:lineRule="auto"/>
        <w:ind w:firstLine="720"/>
        <w:rPr>
          <w:rFonts w:ascii="Times New Roman" w:hAnsi="Times New Roman" w:cs="Times New Roman"/>
          <w:sz w:val="24"/>
          <w:szCs w:val="24"/>
        </w:rPr>
      </w:pPr>
      <w:r>
        <w:rPr>
          <w:rFonts w:ascii="Times New Roman" w:hAnsi="Times New Roman" w:cs="Times New Roman"/>
          <w:sz w:val="24"/>
          <w:szCs w:val="24"/>
        </w:rPr>
        <w:t>For their part, c</w:t>
      </w:r>
      <w:r w:rsidR="002E6526" w:rsidRPr="00E74148">
        <w:rPr>
          <w:rFonts w:ascii="Times New Roman" w:hAnsi="Times New Roman" w:cs="Times New Roman"/>
          <w:sz w:val="24"/>
          <w:szCs w:val="24"/>
        </w:rPr>
        <w:t xml:space="preserve">ommunity college administrators should think creatively about how to improve </w:t>
      </w:r>
      <w:r w:rsidR="00FD3904">
        <w:rPr>
          <w:rFonts w:ascii="Times New Roman" w:hAnsi="Times New Roman" w:cs="Times New Roman"/>
          <w:sz w:val="24"/>
          <w:szCs w:val="24"/>
        </w:rPr>
        <w:t xml:space="preserve">graduation </w:t>
      </w:r>
      <w:r w:rsidR="002E6526" w:rsidRPr="00E74148">
        <w:rPr>
          <w:rFonts w:ascii="Times New Roman" w:hAnsi="Times New Roman" w:cs="Times New Roman"/>
          <w:sz w:val="24"/>
          <w:szCs w:val="24"/>
        </w:rPr>
        <w:t xml:space="preserve">rates. They </w:t>
      </w:r>
      <w:r w:rsidR="002E6731">
        <w:rPr>
          <w:rFonts w:ascii="Times New Roman" w:hAnsi="Times New Roman" w:cs="Times New Roman"/>
          <w:sz w:val="24"/>
          <w:szCs w:val="24"/>
        </w:rPr>
        <w:t xml:space="preserve">can </w:t>
      </w:r>
      <w:r w:rsidR="002E6526" w:rsidRPr="00E74148">
        <w:rPr>
          <w:rFonts w:ascii="Times New Roman" w:hAnsi="Times New Roman" w:cs="Times New Roman"/>
          <w:sz w:val="24"/>
          <w:szCs w:val="24"/>
        </w:rPr>
        <w:t>learn from their peers at technical and for-profit colleges</w:t>
      </w:r>
      <w:r w:rsidR="002E6731">
        <w:rPr>
          <w:rFonts w:ascii="Times New Roman" w:hAnsi="Times New Roman" w:cs="Times New Roman"/>
          <w:sz w:val="24"/>
          <w:szCs w:val="24"/>
        </w:rPr>
        <w:t>,</w:t>
      </w:r>
      <w:r w:rsidR="002E6526" w:rsidRPr="00E74148">
        <w:rPr>
          <w:rFonts w:ascii="Times New Roman" w:hAnsi="Times New Roman" w:cs="Times New Roman"/>
          <w:sz w:val="24"/>
          <w:szCs w:val="24"/>
        </w:rPr>
        <w:t xml:space="preserve"> who expend great energy directing their students to graduate and obtain meaningful employment. Missouri’s Linn State Te</w:t>
      </w:r>
      <w:r w:rsidR="00F97D61">
        <w:rPr>
          <w:rFonts w:ascii="Times New Roman" w:hAnsi="Times New Roman" w:cs="Times New Roman"/>
          <w:sz w:val="24"/>
          <w:szCs w:val="24"/>
        </w:rPr>
        <w:t xml:space="preserve">chnical College, </w:t>
      </w:r>
      <w:r w:rsidR="002E6731">
        <w:rPr>
          <w:rFonts w:ascii="Times New Roman" w:hAnsi="Times New Roman" w:cs="Times New Roman"/>
          <w:sz w:val="24"/>
          <w:szCs w:val="24"/>
        </w:rPr>
        <w:t xml:space="preserve">with its </w:t>
      </w:r>
      <w:r w:rsidR="00F97D61">
        <w:rPr>
          <w:rFonts w:ascii="Times New Roman" w:hAnsi="Times New Roman" w:cs="Times New Roman"/>
          <w:sz w:val="24"/>
          <w:szCs w:val="24"/>
        </w:rPr>
        <w:t>64 percent</w:t>
      </w:r>
      <w:r w:rsidR="002E6526" w:rsidRPr="00E74148">
        <w:rPr>
          <w:rFonts w:ascii="Times New Roman" w:hAnsi="Times New Roman" w:cs="Times New Roman"/>
          <w:sz w:val="24"/>
          <w:szCs w:val="24"/>
        </w:rPr>
        <w:t xml:space="preserve"> six-year </w:t>
      </w:r>
      <w:r w:rsidR="002E6731">
        <w:rPr>
          <w:rFonts w:ascii="Times New Roman" w:hAnsi="Times New Roman" w:cs="Times New Roman"/>
          <w:sz w:val="24"/>
          <w:szCs w:val="24"/>
        </w:rPr>
        <w:t xml:space="preserve">graduation </w:t>
      </w:r>
      <w:r w:rsidR="002E6526" w:rsidRPr="00E74148">
        <w:rPr>
          <w:rFonts w:ascii="Times New Roman" w:hAnsi="Times New Roman" w:cs="Times New Roman"/>
          <w:sz w:val="24"/>
          <w:szCs w:val="24"/>
        </w:rPr>
        <w:t>rate,</w:t>
      </w:r>
      <w:r w:rsidR="002E6526" w:rsidRPr="00E74148">
        <w:rPr>
          <w:rFonts w:ascii="Times New Roman" w:hAnsi="Times New Roman" w:cs="Times New Roman"/>
          <w:sz w:val="24"/>
          <w:szCs w:val="24"/>
          <w:vertAlign w:val="superscript"/>
        </w:rPr>
        <w:footnoteReference w:id="46"/>
      </w:r>
      <w:r w:rsidR="002E6526" w:rsidRPr="00E74148">
        <w:rPr>
          <w:rFonts w:ascii="Times New Roman" w:hAnsi="Times New Roman" w:cs="Times New Roman"/>
          <w:sz w:val="24"/>
          <w:szCs w:val="24"/>
        </w:rPr>
        <w:t xml:space="preserve"> </w:t>
      </w:r>
      <w:r w:rsidR="002E6731">
        <w:rPr>
          <w:rFonts w:ascii="Times New Roman" w:hAnsi="Times New Roman" w:cs="Times New Roman"/>
          <w:sz w:val="24"/>
          <w:szCs w:val="24"/>
        </w:rPr>
        <w:t>requires students</w:t>
      </w:r>
      <w:r w:rsidR="002E6526" w:rsidRPr="00E74148">
        <w:rPr>
          <w:rFonts w:ascii="Times New Roman" w:hAnsi="Times New Roman" w:cs="Times New Roman"/>
          <w:sz w:val="24"/>
          <w:szCs w:val="24"/>
        </w:rPr>
        <w:t xml:space="preserve"> to choose a major before </w:t>
      </w:r>
      <w:r w:rsidR="00EE5950">
        <w:rPr>
          <w:rFonts w:ascii="Times New Roman" w:hAnsi="Times New Roman" w:cs="Times New Roman"/>
          <w:sz w:val="24"/>
          <w:szCs w:val="24"/>
        </w:rPr>
        <w:t xml:space="preserve">enrolling; </w:t>
      </w:r>
      <w:r w:rsidR="00207453">
        <w:rPr>
          <w:rFonts w:ascii="Times New Roman" w:hAnsi="Times New Roman" w:cs="Times New Roman"/>
          <w:sz w:val="24"/>
          <w:szCs w:val="24"/>
        </w:rPr>
        <w:t>requires</w:t>
      </w:r>
      <w:r w:rsidR="002E6526" w:rsidRPr="00E74148">
        <w:rPr>
          <w:rFonts w:ascii="Times New Roman" w:hAnsi="Times New Roman" w:cs="Times New Roman"/>
          <w:sz w:val="24"/>
          <w:szCs w:val="24"/>
        </w:rPr>
        <w:t xml:space="preserve"> </w:t>
      </w:r>
      <w:r w:rsidR="000B4405">
        <w:rPr>
          <w:rFonts w:ascii="Times New Roman" w:hAnsi="Times New Roman" w:cs="Times New Roman"/>
          <w:sz w:val="24"/>
          <w:szCs w:val="24"/>
        </w:rPr>
        <w:t xml:space="preserve">students </w:t>
      </w:r>
      <w:r w:rsidR="002E6526" w:rsidRPr="00E74148">
        <w:rPr>
          <w:rFonts w:ascii="Times New Roman" w:hAnsi="Times New Roman" w:cs="Times New Roman"/>
          <w:sz w:val="24"/>
          <w:szCs w:val="24"/>
        </w:rPr>
        <w:t>to c</w:t>
      </w:r>
      <w:r w:rsidR="001C48A9">
        <w:rPr>
          <w:rFonts w:ascii="Times New Roman" w:hAnsi="Times New Roman" w:cs="Times New Roman"/>
          <w:sz w:val="24"/>
          <w:szCs w:val="24"/>
        </w:rPr>
        <w:t xml:space="preserve">omplete internships; </w:t>
      </w:r>
      <w:r w:rsidR="00EE5950">
        <w:rPr>
          <w:rFonts w:ascii="Times New Roman" w:hAnsi="Times New Roman" w:cs="Times New Roman"/>
          <w:sz w:val="24"/>
          <w:szCs w:val="24"/>
        </w:rPr>
        <w:t xml:space="preserve">and </w:t>
      </w:r>
      <w:r w:rsidR="00207453">
        <w:rPr>
          <w:rFonts w:ascii="Times New Roman" w:hAnsi="Times New Roman" w:cs="Times New Roman"/>
          <w:sz w:val="24"/>
          <w:szCs w:val="24"/>
        </w:rPr>
        <w:t>offers</w:t>
      </w:r>
      <w:r w:rsidR="002E6526" w:rsidRPr="00E74148">
        <w:rPr>
          <w:rFonts w:ascii="Times New Roman" w:hAnsi="Times New Roman" w:cs="Times New Roman"/>
          <w:sz w:val="24"/>
          <w:szCs w:val="24"/>
        </w:rPr>
        <w:t xml:space="preserve"> courses in subjects recommended by an advisory board of local employers. Many for-profit colleges follow a similar approach.</w:t>
      </w:r>
      <w:r w:rsidR="002E6526" w:rsidRPr="00E74148">
        <w:rPr>
          <w:rFonts w:ascii="Times New Roman" w:hAnsi="Times New Roman" w:cs="Times New Roman"/>
          <w:sz w:val="24"/>
          <w:szCs w:val="24"/>
          <w:vertAlign w:val="superscript"/>
        </w:rPr>
        <w:footnoteReference w:id="47"/>
      </w:r>
    </w:p>
    <w:p w14:paraId="4C70D78D" w14:textId="77777777" w:rsidR="00016A9A" w:rsidRPr="00E74148" w:rsidRDefault="00016A9A" w:rsidP="00E74148">
      <w:pPr>
        <w:spacing w:line="240" w:lineRule="auto"/>
        <w:rPr>
          <w:rFonts w:ascii="Times New Roman" w:hAnsi="Times New Roman" w:cs="Times New Roman"/>
          <w:sz w:val="24"/>
          <w:szCs w:val="24"/>
        </w:rPr>
      </w:pPr>
    </w:p>
    <w:p w14:paraId="200A0F2C" w14:textId="77777777" w:rsidR="00A011F8" w:rsidRPr="00F97D61" w:rsidRDefault="00A011F8" w:rsidP="00E74148">
      <w:pPr>
        <w:spacing w:line="240" w:lineRule="auto"/>
        <w:rPr>
          <w:rFonts w:ascii="Times New Roman" w:hAnsi="Times New Roman" w:cs="Times New Roman"/>
          <w:b/>
          <w:sz w:val="24"/>
          <w:szCs w:val="24"/>
        </w:rPr>
      </w:pPr>
      <w:r w:rsidRPr="00F97D61">
        <w:rPr>
          <w:rFonts w:ascii="Times New Roman" w:hAnsi="Times New Roman" w:cs="Times New Roman"/>
          <w:b/>
          <w:sz w:val="24"/>
          <w:szCs w:val="24"/>
        </w:rPr>
        <w:t>VI. Conclusion</w:t>
      </w:r>
    </w:p>
    <w:p w14:paraId="2D0A696E" w14:textId="77777777" w:rsidR="00A06008" w:rsidRDefault="00A011F8" w:rsidP="008419B7">
      <w:pPr>
        <w:spacing w:line="240" w:lineRule="auto"/>
        <w:rPr>
          <w:rFonts w:ascii="Times New Roman" w:hAnsi="Times New Roman" w:cs="Times New Roman"/>
          <w:sz w:val="24"/>
          <w:szCs w:val="24"/>
        </w:rPr>
      </w:pPr>
      <w:r w:rsidRPr="00E74148">
        <w:rPr>
          <w:rFonts w:ascii="Times New Roman" w:hAnsi="Times New Roman" w:cs="Times New Roman"/>
          <w:sz w:val="24"/>
          <w:szCs w:val="24"/>
        </w:rPr>
        <w:t>Though</w:t>
      </w:r>
      <w:r w:rsidR="00016A9A" w:rsidRPr="00E74148">
        <w:rPr>
          <w:rFonts w:ascii="Times New Roman" w:hAnsi="Times New Roman" w:cs="Times New Roman"/>
          <w:sz w:val="24"/>
          <w:szCs w:val="24"/>
        </w:rPr>
        <w:t xml:space="preserve"> often</w:t>
      </w:r>
      <w:r w:rsidRPr="00E74148">
        <w:rPr>
          <w:rFonts w:ascii="Times New Roman" w:hAnsi="Times New Roman" w:cs="Times New Roman"/>
          <w:sz w:val="24"/>
          <w:szCs w:val="24"/>
        </w:rPr>
        <w:t xml:space="preserve"> </w:t>
      </w:r>
      <w:r w:rsidR="00FB30E0" w:rsidRPr="00E74148">
        <w:rPr>
          <w:rFonts w:ascii="Times New Roman" w:hAnsi="Times New Roman" w:cs="Times New Roman"/>
          <w:sz w:val="24"/>
          <w:szCs w:val="24"/>
        </w:rPr>
        <w:t>discussed</w:t>
      </w:r>
      <w:r w:rsidRPr="00E74148">
        <w:rPr>
          <w:rFonts w:ascii="Times New Roman" w:hAnsi="Times New Roman" w:cs="Times New Roman"/>
          <w:sz w:val="24"/>
          <w:szCs w:val="24"/>
        </w:rPr>
        <w:t xml:space="preserve"> as an essential stepping-stone to middle-class life, </w:t>
      </w:r>
      <w:r w:rsidR="000B4405">
        <w:rPr>
          <w:rFonts w:ascii="Times New Roman" w:hAnsi="Times New Roman" w:cs="Times New Roman"/>
          <w:sz w:val="24"/>
          <w:szCs w:val="24"/>
        </w:rPr>
        <w:t xml:space="preserve">America’s </w:t>
      </w:r>
      <w:r w:rsidRPr="00E74148">
        <w:rPr>
          <w:rFonts w:ascii="Times New Roman" w:hAnsi="Times New Roman" w:cs="Times New Roman"/>
          <w:sz w:val="24"/>
          <w:szCs w:val="24"/>
        </w:rPr>
        <w:t xml:space="preserve">community college sector needs </w:t>
      </w:r>
      <w:r w:rsidR="000B4405">
        <w:rPr>
          <w:rFonts w:ascii="Times New Roman" w:hAnsi="Times New Roman" w:cs="Times New Roman"/>
          <w:sz w:val="24"/>
          <w:szCs w:val="24"/>
        </w:rPr>
        <w:t xml:space="preserve">fundamental reform </w:t>
      </w:r>
      <w:r w:rsidR="00694D32" w:rsidRPr="00E74148">
        <w:rPr>
          <w:rFonts w:ascii="Times New Roman" w:hAnsi="Times New Roman" w:cs="Times New Roman"/>
          <w:sz w:val="24"/>
          <w:szCs w:val="24"/>
        </w:rPr>
        <w:t>to</w:t>
      </w:r>
      <w:r w:rsidRPr="00E74148">
        <w:rPr>
          <w:rFonts w:ascii="Times New Roman" w:hAnsi="Times New Roman" w:cs="Times New Roman"/>
          <w:sz w:val="24"/>
          <w:szCs w:val="24"/>
        </w:rPr>
        <w:t xml:space="preserve"> deliver on its promise.</w:t>
      </w:r>
      <w:r w:rsidR="00016A9A" w:rsidRPr="00E74148">
        <w:rPr>
          <w:rFonts w:ascii="Times New Roman" w:hAnsi="Times New Roman" w:cs="Times New Roman"/>
          <w:sz w:val="24"/>
          <w:szCs w:val="24"/>
        </w:rPr>
        <w:t xml:space="preserve"> Any attempt to enroll more students in community colleges should be coupled with measures to improve outcomes. </w:t>
      </w:r>
      <w:r w:rsidRPr="00E74148">
        <w:rPr>
          <w:rFonts w:ascii="Times New Roman" w:hAnsi="Times New Roman" w:cs="Times New Roman"/>
          <w:sz w:val="24"/>
          <w:szCs w:val="24"/>
        </w:rPr>
        <w:t xml:space="preserve">Policymakers </w:t>
      </w:r>
      <w:r w:rsidR="00694D32" w:rsidRPr="00E74148">
        <w:rPr>
          <w:rFonts w:ascii="Times New Roman" w:hAnsi="Times New Roman" w:cs="Times New Roman"/>
          <w:sz w:val="24"/>
          <w:szCs w:val="24"/>
        </w:rPr>
        <w:t>should leverage federal student aid to reward highly-performing schools, encourage the implementation of intensive counseling services, and disc</w:t>
      </w:r>
      <w:r w:rsidR="00FB30E0" w:rsidRPr="00E74148">
        <w:rPr>
          <w:rFonts w:ascii="Times New Roman" w:hAnsi="Times New Roman" w:cs="Times New Roman"/>
          <w:sz w:val="24"/>
          <w:szCs w:val="24"/>
        </w:rPr>
        <w:t>ipline</w:t>
      </w:r>
      <w:r w:rsidR="00694D32" w:rsidRPr="00E74148">
        <w:rPr>
          <w:rFonts w:ascii="Times New Roman" w:hAnsi="Times New Roman" w:cs="Times New Roman"/>
          <w:sz w:val="24"/>
          <w:szCs w:val="24"/>
        </w:rPr>
        <w:t xml:space="preserve"> </w:t>
      </w:r>
      <w:r w:rsidR="000B4405">
        <w:rPr>
          <w:rFonts w:ascii="Times New Roman" w:hAnsi="Times New Roman" w:cs="Times New Roman"/>
          <w:sz w:val="24"/>
          <w:szCs w:val="24"/>
        </w:rPr>
        <w:t xml:space="preserve">both </w:t>
      </w:r>
      <w:r w:rsidR="00694D32" w:rsidRPr="00E74148">
        <w:rPr>
          <w:rFonts w:ascii="Times New Roman" w:hAnsi="Times New Roman" w:cs="Times New Roman"/>
          <w:sz w:val="24"/>
          <w:szCs w:val="24"/>
        </w:rPr>
        <w:t>schools that underperform and students who take too long to graduate</w:t>
      </w:r>
      <w:r w:rsidR="00A06008">
        <w:rPr>
          <w:rFonts w:ascii="Times New Roman" w:hAnsi="Times New Roman" w:cs="Times New Roman"/>
          <w:sz w:val="24"/>
          <w:szCs w:val="24"/>
        </w:rPr>
        <w:t>.</w:t>
      </w:r>
    </w:p>
    <w:p w14:paraId="3CF4C162" w14:textId="037B7EDA" w:rsidR="008419B7" w:rsidRPr="00E74148" w:rsidRDefault="00A86FA6" w:rsidP="00A0600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Community </w:t>
      </w:r>
      <w:r w:rsidR="00FB30E0" w:rsidRPr="00E74148">
        <w:rPr>
          <w:rFonts w:ascii="Times New Roman" w:hAnsi="Times New Roman" w:cs="Times New Roman"/>
          <w:sz w:val="24"/>
          <w:szCs w:val="24"/>
        </w:rPr>
        <w:t>college administrators</w:t>
      </w:r>
      <w:r w:rsidR="00A011F8" w:rsidRPr="00E74148">
        <w:rPr>
          <w:rFonts w:ascii="Times New Roman" w:hAnsi="Times New Roman" w:cs="Times New Roman"/>
          <w:sz w:val="24"/>
          <w:szCs w:val="24"/>
        </w:rPr>
        <w:t xml:space="preserve"> </w:t>
      </w:r>
      <w:r w:rsidR="00FB30E0" w:rsidRPr="00E74148">
        <w:rPr>
          <w:rFonts w:ascii="Times New Roman" w:hAnsi="Times New Roman" w:cs="Times New Roman"/>
          <w:sz w:val="24"/>
          <w:szCs w:val="24"/>
        </w:rPr>
        <w:t>should redouble efforts to k</w:t>
      </w:r>
      <w:r w:rsidR="000B4405">
        <w:rPr>
          <w:rFonts w:ascii="Times New Roman" w:hAnsi="Times New Roman" w:cs="Times New Roman"/>
          <w:sz w:val="24"/>
          <w:szCs w:val="24"/>
        </w:rPr>
        <w:t>eep students on the path toward graduation—</w:t>
      </w:r>
      <w:r w:rsidR="00FB30E0" w:rsidRPr="00E74148">
        <w:rPr>
          <w:rFonts w:ascii="Times New Roman" w:hAnsi="Times New Roman" w:cs="Times New Roman"/>
          <w:sz w:val="24"/>
          <w:szCs w:val="24"/>
        </w:rPr>
        <w:t xml:space="preserve">by investing in advisory services, offering relevant coursework, </w:t>
      </w:r>
      <w:r w:rsidR="000B4405">
        <w:rPr>
          <w:rFonts w:ascii="Times New Roman" w:hAnsi="Times New Roman" w:cs="Times New Roman"/>
          <w:sz w:val="24"/>
          <w:szCs w:val="24"/>
        </w:rPr>
        <w:t>and</w:t>
      </w:r>
      <w:r w:rsidR="00FB30E0" w:rsidRPr="00E74148">
        <w:rPr>
          <w:rFonts w:ascii="Times New Roman" w:hAnsi="Times New Roman" w:cs="Times New Roman"/>
          <w:sz w:val="24"/>
          <w:szCs w:val="24"/>
        </w:rPr>
        <w:t xml:space="preserve"> providing meaningful internship opportunities. By taking these positive steps, policymakers and administrators will make community college a better investment for taxpayers and students</w:t>
      </w:r>
      <w:r w:rsidR="00F97D61">
        <w:rPr>
          <w:rFonts w:ascii="Times New Roman" w:hAnsi="Times New Roman" w:cs="Times New Roman"/>
          <w:sz w:val="24"/>
          <w:szCs w:val="24"/>
        </w:rPr>
        <w:t>.</w:t>
      </w:r>
    </w:p>
    <w:p w14:paraId="160E9B22" w14:textId="7939B87C" w:rsidR="00215C5A" w:rsidRPr="00E74148" w:rsidRDefault="00215C5A" w:rsidP="008C1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rPr>
      </w:pPr>
    </w:p>
    <w:sectPr w:rsidR="00215C5A" w:rsidRPr="00E74148" w:rsidSect="00446AAF">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imble, David" w:date="2015-09-18T19:10:00Z" w:initials="KD">
    <w:p w14:paraId="0E86F71F" w14:textId="2636542B" w:rsidR="008E6507" w:rsidRDefault="008E6507">
      <w:pPr>
        <w:pStyle w:val="CommentText"/>
      </w:pPr>
      <w:r>
        <w:rPr>
          <w:rStyle w:val="CommentReference"/>
        </w:rPr>
        <w:annotationRef/>
      </w:r>
      <w:r>
        <w:t xml:space="preserve"> Lisa: Judah lost this Excel file. Possible to recreate Figure 5? But please delete the middle “Overall” bar, as well as “Six-year completion rates, 2013”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A0F41" w14:textId="77777777" w:rsidR="00C76A75" w:rsidRDefault="00C76A75" w:rsidP="00A011F8">
      <w:pPr>
        <w:spacing w:line="240" w:lineRule="auto"/>
      </w:pPr>
      <w:r>
        <w:separator/>
      </w:r>
    </w:p>
  </w:endnote>
  <w:endnote w:type="continuationSeparator" w:id="0">
    <w:p w14:paraId="77F01528" w14:textId="77777777" w:rsidR="00C76A75" w:rsidRDefault="00C76A75" w:rsidP="00A01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970E0" w14:textId="77777777" w:rsidR="00C76A75" w:rsidRDefault="00C76A75" w:rsidP="00A011F8">
      <w:pPr>
        <w:spacing w:line="240" w:lineRule="auto"/>
      </w:pPr>
      <w:r>
        <w:separator/>
      </w:r>
    </w:p>
  </w:footnote>
  <w:footnote w:type="continuationSeparator" w:id="0">
    <w:p w14:paraId="06131CAD" w14:textId="77777777" w:rsidR="00C76A75" w:rsidRDefault="00C76A75" w:rsidP="00A011F8">
      <w:pPr>
        <w:spacing w:line="240" w:lineRule="auto"/>
      </w:pPr>
      <w:r>
        <w:continuationSeparator/>
      </w:r>
    </w:p>
  </w:footnote>
  <w:footnote w:id="1">
    <w:p w14:paraId="01BC69EF" w14:textId="5D533B7C"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Tom Watkins, “Obama right on community colleges,” </w:t>
      </w:r>
      <w:r w:rsidRPr="00867388">
        <w:rPr>
          <w:rFonts w:ascii="Times New Roman" w:hAnsi="Times New Roman" w:cs="Times New Roman"/>
          <w:i/>
          <w:sz w:val="20"/>
        </w:rPr>
        <w:t>Battle Creek Enquirer</w:t>
      </w:r>
      <w:r w:rsidRPr="00867388">
        <w:rPr>
          <w:rFonts w:ascii="Times New Roman" w:hAnsi="Times New Roman" w:cs="Times New Roman"/>
          <w:sz w:val="20"/>
        </w:rPr>
        <w:t>, January 19th, http://www.battlecreekenquirer.com/story/opinion/columnists/2015/01/19/tom-watkins-obama-right-community-colleges/22006065/</w:t>
      </w:r>
      <w:r w:rsidR="00A06008">
        <w:rPr>
          <w:rFonts w:ascii="Times New Roman" w:hAnsi="Times New Roman" w:cs="Times New Roman"/>
          <w:sz w:val="20"/>
        </w:rPr>
        <w:t>.</w:t>
      </w:r>
    </w:p>
  </w:footnote>
  <w:footnote w:id="2">
    <w:p w14:paraId="3438A45B" w14:textId="0659C579"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00A06008">
        <w:rPr>
          <w:rFonts w:ascii="Times New Roman" w:hAnsi="Times New Roman" w:cs="Times New Roman"/>
          <w:sz w:val="20"/>
        </w:rPr>
        <w:t xml:space="preserve"> Byron Tau, “</w:t>
      </w:r>
      <w:r w:rsidRPr="00867388">
        <w:rPr>
          <w:rFonts w:ascii="Times New Roman" w:hAnsi="Times New Roman" w:cs="Times New Roman"/>
          <w:sz w:val="20"/>
        </w:rPr>
        <w:t>Community Colleges Long Seen by Presidents a</w:t>
      </w:r>
      <w:r w:rsidR="00A06008">
        <w:rPr>
          <w:rFonts w:ascii="Times New Roman" w:hAnsi="Times New Roman" w:cs="Times New Roman"/>
          <w:sz w:val="20"/>
        </w:rPr>
        <w:t>s Key to Education, Work Force,”</w:t>
      </w:r>
      <w:r w:rsidRPr="00867388">
        <w:rPr>
          <w:rFonts w:ascii="Times New Roman" w:hAnsi="Times New Roman" w:cs="Times New Roman"/>
          <w:sz w:val="20"/>
        </w:rPr>
        <w:t xml:space="preserve"> Wall Street Journal, January 9, http://blogs.wsj.com/washwire/2015/01/09/obamas-predecessors-also-loved-community-colleges/</w:t>
      </w:r>
      <w:r w:rsidR="00A06008">
        <w:rPr>
          <w:rFonts w:ascii="Times New Roman" w:hAnsi="Times New Roman" w:cs="Times New Roman"/>
          <w:sz w:val="20"/>
        </w:rPr>
        <w:t>.</w:t>
      </w:r>
    </w:p>
  </w:footnote>
  <w:footnote w:id="3">
    <w:p w14:paraId="7C06092E"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Ibid. </w:t>
      </w:r>
    </w:p>
  </w:footnote>
  <w:footnote w:id="4">
    <w:p w14:paraId="0E9B1D8E" w14:textId="3CF96CF4"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Barack Obama, “Remarks by the President on America's College Promise,” The White House, January 9th, http://www.whitehouse.gov/the-press-office/2015/01/09/remarks-president-americas-college-promise</w:t>
      </w:r>
      <w:r w:rsidR="00A06008">
        <w:rPr>
          <w:rFonts w:ascii="Times New Roman" w:hAnsi="Times New Roman" w:cs="Times New Roman"/>
          <w:sz w:val="20"/>
        </w:rPr>
        <w:t>.</w:t>
      </w:r>
    </w:p>
  </w:footnote>
  <w:footnote w:id="5">
    <w:p w14:paraId="6FC97D2A"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Conversation with Laurel Adler, Superintendent of East San Gabriel Valley Occupational Program and Technical Center.</w:t>
      </w:r>
    </w:p>
  </w:footnote>
  <w:footnote w:id="6">
    <w:p w14:paraId="1FD3B762"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Grace Kena et. al, "The Condition of Education 2014," NCES, May 2014, http://nces.ed.gov/pubs2014/2014083.pdf, 156.</w:t>
      </w:r>
    </w:p>
  </w:footnote>
  <w:footnote w:id="7">
    <w:p w14:paraId="182EFFA6"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Grace Kena et. al, "The Condition of Education 2014," 168.</w:t>
      </w:r>
    </w:p>
  </w:footnote>
  <w:footnote w:id="8">
    <w:p w14:paraId="5E123CFF" w14:textId="47D596BF"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"Average Net Price over Time for Full-Time Students, by Sector," The College Board, http://trends.collegeboard.org/college-pricing/figures-tables/average-net-price-time-full-time-students-sector</w:t>
      </w:r>
      <w:r w:rsidR="00A06008">
        <w:rPr>
          <w:rFonts w:ascii="Times New Roman" w:hAnsi="Times New Roman" w:cs="Times New Roman"/>
          <w:sz w:val="20"/>
        </w:rPr>
        <w:t>.</w:t>
      </w:r>
    </w:p>
  </w:footnote>
  <w:footnote w:id="9">
    <w:p w14:paraId="7CBAFD97"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Sandy Baum &amp; Kathleen Payea, "Trends in For-Profit Postsecondary Education: Enrollment, Prices, Student Aid and Outcomes," The College Board, 2011, https://trends.collegeboard.org/sites/default/files/trends-2011-for-profit-postsecondary-ed-outcomes-brief.pdf, 2.</w:t>
      </w:r>
    </w:p>
  </w:footnote>
  <w:footnote w:id="10">
    <w:p w14:paraId="2C9F8CD5"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Grace Kena et. al, "The Condition of Education 2014," 158.</w:t>
      </w:r>
    </w:p>
  </w:footnote>
  <w:footnote w:id="11">
    <w:p w14:paraId="7FEA8E55"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Grace Kena et. al, "The Condition of Education 2014," 160.</w:t>
      </w:r>
    </w:p>
  </w:footnote>
  <w:footnote w:id="12">
    <w:p w14:paraId="6463539B" w14:textId="1F7F3569"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"Trends</w:t>
      </w:r>
      <w:r w:rsidR="00A06008">
        <w:rPr>
          <w:rFonts w:ascii="Times New Roman" w:hAnsi="Times New Roman" w:cs="Times New Roman"/>
          <w:sz w:val="20"/>
        </w:rPr>
        <w:t xml:space="preserve"> in Student Aid 2014," 2014, </w:t>
      </w:r>
      <w:r w:rsidRPr="00867388">
        <w:rPr>
          <w:rFonts w:ascii="Times New Roman" w:hAnsi="Times New Roman" w:cs="Times New Roman"/>
          <w:sz w:val="20"/>
        </w:rPr>
        <w:t>19.</w:t>
      </w:r>
    </w:p>
  </w:footnote>
  <w:footnote w:id="13">
    <w:p w14:paraId="518B3D8B" w14:textId="60AC0AA0"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"Tren</w:t>
      </w:r>
      <w:r w:rsidR="00A06008">
        <w:rPr>
          <w:rFonts w:ascii="Times New Roman" w:hAnsi="Times New Roman" w:cs="Times New Roman"/>
          <w:sz w:val="20"/>
        </w:rPr>
        <w:t xml:space="preserve">ds in Student Aid 2014," 2014, </w:t>
      </w:r>
      <w:r w:rsidRPr="00867388">
        <w:rPr>
          <w:rFonts w:ascii="Times New Roman" w:hAnsi="Times New Roman" w:cs="Times New Roman"/>
          <w:sz w:val="20"/>
        </w:rPr>
        <w:t>19.</w:t>
      </w:r>
    </w:p>
  </w:footnote>
  <w:footnote w:id="14">
    <w:p w14:paraId="65C4EE56" w14:textId="43208699"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"Student Loan Volume and Default Rates," in "The Condition of Education," May 2014, http://nces.ed.gov/programs/coe/indicator_cug.asp</w:t>
      </w:r>
      <w:r w:rsidR="00A06008">
        <w:rPr>
          <w:rFonts w:ascii="Times New Roman" w:hAnsi="Times New Roman" w:cs="Times New Roman"/>
          <w:sz w:val="20"/>
        </w:rPr>
        <w:t>.</w:t>
      </w:r>
    </w:p>
  </w:footnote>
  <w:footnote w:id="15">
    <w:p w14:paraId="50DE4738" w14:textId="431F0B0D"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Doug Shapiro et al, "Completing College: A National View of Student Attainment Rates-Fall 2008 Cohort," National Student Clearinghouse Research Center, November 2014, </w:t>
      </w:r>
      <w:hyperlink r:id="rId1" w:history="1">
        <w:r w:rsidRPr="00867388">
          <w:rPr>
            <w:rStyle w:val="Hyperlink"/>
            <w:rFonts w:ascii="Times New Roman" w:hAnsi="Times New Roman" w:cs="Times New Roman"/>
            <w:sz w:val="20"/>
          </w:rPr>
          <w:t>http://nscresearchcenter.org/wp-content/uploads/SignatureReport8.pdf</w:t>
        </w:r>
      </w:hyperlink>
      <w:r w:rsidRPr="00867388">
        <w:rPr>
          <w:rFonts w:ascii="Times New Roman" w:hAnsi="Times New Roman" w:cs="Times New Roman"/>
          <w:sz w:val="20"/>
        </w:rPr>
        <w:t xml:space="preserve">, 24. </w:t>
      </w:r>
    </w:p>
  </w:footnote>
  <w:footnote w:id="16">
    <w:p w14:paraId="424AD4FC" w14:textId="2B42DD4B" w:rsidR="00C76A75" w:rsidRPr="00867388" w:rsidRDefault="00C76A75" w:rsidP="00A06008">
      <w:pPr>
        <w:spacing w:line="240" w:lineRule="auto"/>
        <w:rPr>
          <w:rFonts w:ascii="Times New Roman" w:eastAsia="Times New Roman" w:hAnsi="Times New Roman" w:cs="Times New Roman"/>
          <w:sz w:val="20"/>
        </w:rPr>
      </w:pPr>
      <w:r w:rsidRPr="00867388">
        <w:rPr>
          <w:rStyle w:val="FootnoteReference"/>
          <w:rFonts w:ascii="Times New Roman" w:hAnsi="Times New Roman" w:cs="Times New Roman"/>
          <w:sz w:val="20"/>
        </w:rPr>
        <w:footnoteRef/>
      </w:r>
      <w:r w:rsidRPr="00867388">
        <w:rPr>
          <w:rFonts w:ascii="Times New Roman" w:hAnsi="Times New Roman" w:cs="Times New Roman"/>
          <w:sz w:val="20"/>
        </w:rPr>
        <w:t xml:space="preserve"> “</w:t>
      </w:r>
      <w:r w:rsidRPr="00867388">
        <w:rPr>
          <w:rFonts w:ascii="Times New Roman" w:eastAsia="Times New Roman" w:hAnsi="Times New Roman" w:cs="Times New Roman"/>
          <w:bCs/>
          <w:sz w:val="20"/>
          <w:shd w:val="clear" w:color="auto" w:fill="FFFFFF"/>
        </w:rPr>
        <w:t xml:space="preserve">Graduation rate from first institution attended within 150 percent of normal time for first-time, full-time degree/certificate-seeking students at 2-year postsecondary institutions,” </w:t>
      </w:r>
      <w:r w:rsidRPr="00867388">
        <w:rPr>
          <w:rFonts w:ascii="Times New Roman" w:hAnsi="Times New Roman" w:cs="Times New Roman"/>
          <w:sz w:val="20"/>
        </w:rPr>
        <w:t>http://nces.ed.gov/programs/digest/d14/tables/dt14_326.20.asp.</w:t>
      </w:r>
    </w:p>
  </w:footnote>
  <w:footnote w:id="17">
    <w:p w14:paraId="118B4B22" w14:textId="46D56912"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Christopher M. Mullin, "Transfer: An Indispensable Part of the Community College Mission," American Association of Community Colleges, October 2012, http://www.che.sc.gov/CHE_Docs/Commission%20Calendar&amp;Materials/Nov2012MtgMaterials/AACC_Transfer_to_LUMINA.PDF, 8; U.S. Department of Education, "Community College Student Outcomes: 1994–2009," Web Tables, http://nces.ed.gov/pubs2012/2012253.pdf, 15. The relatively few students who transfer generally fare well at their new institutions, with 62 percent earning a BA or higher within six years after transferring. Students who transfer after earning a community college degree or certificate fare even better, with 72 percent earning their four-year degree within six years after transferring. See Doug Shapiro et. al., "Baccalaureate Attainment: A National View of the Postsecondary Outcomes of Students Who Transfer from Two-Year to Four-Year Institutions," National Student Clearinghouse Research Center, August 6 2013, http://nscresearchcenter.org/signaturereport5/.</w:t>
      </w:r>
    </w:p>
  </w:footnote>
  <w:footnote w:id="18">
    <w:p w14:paraId="6655CC5A" w14:textId="6D5E19F0" w:rsidR="00C76A75" w:rsidRPr="00867388" w:rsidRDefault="00C76A75" w:rsidP="00A06008">
      <w:pPr>
        <w:pStyle w:val="FootnoteText"/>
        <w:rPr>
          <w:rFonts w:ascii="Times New Roman" w:hAnsi="Times New Roman" w:cs="Times New Roman"/>
        </w:rPr>
      </w:pPr>
      <w:r w:rsidRPr="00867388">
        <w:rPr>
          <w:rStyle w:val="FootnoteReference"/>
          <w:rFonts w:ascii="Times New Roman" w:hAnsi="Times New Roman" w:cs="Times New Roman"/>
        </w:rPr>
        <w:footnoteRef/>
      </w:r>
      <w:r w:rsidRPr="00867388">
        <w:rPr>
          <w:rFonts w:ascii="Times New Roman" w:hAnsi="Times New Roman" w:cs="Times New Roman"/>
        </w:rPr>
        <w:t xml:space="preserve"> </w:t>
      </w:r>
      <w:r w:rsidRPr="00867388">
        <w:rPr>
          <w:rFonts w:ascii="Times New Roman" w:hAnsi="Times New Roman" w:cs="Times New Roman"/>
        </w:rPr>
        <w:t>A three</w:t>
      </w:r>
      <w:r w:rsidR="00490FF8">
        <w:rPr>
          <w:rFonts w:ascii="Times New Roman" w:hAnsi="Times New Roman" w:cs="Times New Roman"/>
        </w:rPr>
        <w:t>-</w:t>
      </w:r>
      <w:r w:rsidRPr="00867388">
        <w:rPr>
          <w:rFonts w:ascii="Times New Roman" w:hAnsi="Times New Roman" w:cs="Times New Roman"/>
        </w:rPr>
        <w:t>year default rate measure</w:t>
      </w:r>
      <w:r w:rsidR="00636C80">
        <w:rPr>
          <w:rFonts w:ascii="Times New Roman" w:hAnsi="Times New Roman" w:cs="Times New Roman"/>
        </w:rPr>
        <w:t>s</w:t>
      </w:r>
      <w:r w:rsidRPr="00867388">
        <w:rPr>
          <w:rFonts w:ascii="Times New Roman" w:hAnsi="Times New Roman" w:cs="Times New Roman"/>
        </w:rPr>
        <w:t xml:space="preserve"> the percentage of student</w:t>
      </w:r>
      <w:r w:rsidR="00490FF8">
        <w:rPr>
          <w:rFonts w:ascii="Times New Roman" w:hAnsi="Times New Roman" w:cs="Times New Roman"/>
        </w:rPr>
        <w:t>s</w:t>
      </w:r>
      <w:r w:rsidRPr="00867388">
        <w:rPr>
          <w:rFonts w:ascii="Times New Roman" w:hAnsi="Times New Roman" w:cs="Times New Roman"/>
        </w:rPr>
        <w:t xml:space="preserve"> who have entered repayment on their loans and default within three years. “Behind the Numbers: Making Sense of Cohort Default Rates,” </w:t>
      </w:r>
      <w:hyperlink r:id="rId2" w:history="1">
        <w:r w:rsidRPr="00867388">
          <w:rPr>
            <w:rStyle w:val="Hyperlink"/>
            <w:rFonts w:ascii="Times New Roman" w:hAnsi="Times New Roman" w:cs="Times New Roman"/>
          </w:rPr>
          <w:t>https://www.tgslc.org/pdf/Behind-the-Numbers.pdf</w:t>
        </w:r>
      </w:hyperlink>
      <w:r w:rsidRPr="00867388">
        <w:rPr>
          <w:rFonts w:ascii="Times New Roman" w:hAnsi="Times New Roman" w:cs="Times New Roman"/>
        </w:rPr>
        <w:t xml:space="preserve">, 2. </w:t>
      </w:r>
    </w:p>
  </w:footnote>
  <w:footnote w:id="19">
    <w:p w14:paraId="048D9199" w14:textId="1BF7275D"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"Student Loan Volume and Default Rates, NCES, https://nces.ed.gov/programs/coe/pdf/coe_cug.pdf, 4. Years cited use U.S. government’s fiscal year. Thus, for 2011: October 1, 2010–September 30, 2011; and for 2009: October 1, 2008–September 30, 2009.</w:t>
      </w:r>
    </w:p>
  </w:footnote>
  <w:footnote w:id="20">
    <w:p w14:paraId="46173DCC" w14:textId="3C57A8E4"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"Trends in Student Aid 2014," 28. In 2011, community college students accounted for 24 percent of all student loan defaults—a slightly lower share, proportionately, than their overall numbers (28 percent of all U.S. higher-ed students in 2009).</w:t>
      </w:r>
    </w:p>
  </w:footnote>
  <w:footnote w:id="21">
    <w:p w14:paraId="21432761"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"Student Loan Volume and Default Rates, NCES, https://nces.ed.gov/programs/coe/pdf/coe_cug.pdf, 4.</w:t>
      </w:r>
    </w:p>
  </w:footnote>
  <w:footnote w:id="22">
    <w:p w14:paraId="284A7DE5"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Trends in Student Aid 2014," 20.</w:t>
      </w:r>
    </w:p>
  </w:footnote>
  <w:footnote w:id="23">
    <w:p w14:paraId="0C2E8656" w14:textId="19995FA0" w:rsidR="00C76A75" w:rsidRPr="00867388" w:rsidRDefault="00C76A75" w:rsidP="00A06008">
      <w:pPr>
        <w:pStyle w:val="FootnoteText"/>
        <w:rPr>
          <w:rFonts w:ascii="Times New Roman" w:hAnsi="Times New Roman" w:cs="Times New Roman"/>
        </w:rPr>
      </w:pPr>
      <w:r w:rsidRPr="00867388">
        <w:rPr>
          <w:rStyle w:val="FootnoteReference"/>
          <w:rFonts w:ascii="Times New Roman" w:hAnsi="Times New Roman" w:cs="Times New Roman"/>
        </w:rPr>
        <w:footnoteRef/>
      </w:r>
      <w:r w:rsidRPr="00867388">
        <w:rPr>
          <w:rFonts w:ascii="Times New Roman" w:hAnsi="Times New Roman" w:cs="Times New Roman"/>
        </w:rPr>
        <w:t xml:space="preserve"> TAACCCT received the aforementioned funds as part of the 2010 Health Care and Education Reconciliation Act.</w:t>
      </w:r>
    </w:p>
  </w:footnote>
  <w:footnote w:id="24">
    <w:p w14:paraId="4CCC82DF"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"Trade Adjustment Assistance Community College and Career Training Grant Program," </w:t>
      </w:r>
      <w:hyperlink r:id="rId3" w:history="1">
        <w:r w:rsidRPr="00867388">
          <w:rPr>
            <w:rStyle w:val="Hyperlink"/>
            <w:rFonts w:ascii="Times New Roman" w:hAnsi="Times New Roman" w:cs="Times New Roman"/>
            <w:sz w:val="20"/>
          </w:rPr>
          <w:t>http://www.doleta.gov/taaccct/</w:t>
        </w:r>
      </w:hyperlink>
      <w:r w:rsidRPr="00867388">
        <w:rPr>
          <w:rFonts w:ascii="Times New Roman" w:hAnsi="Times New Roman" w:cs="Times New Roman"/>
          <w:sz w:val="20"/>
        </w:rPr>
        <w:t>; "Obama administration announces $500 million in community college grants to expand job training through local employer partnerships," United States Department of Labor, October 19, 2012, http://www.dol.gov/opa/media/press/eta/ETA20121885.htm.</w:t>
      </w:r>
    </w:p>
  </w:footnote>
  <w:footnote w:id="25">
    <w:p w14:paraId="20B9F632" w14:textId="51D879B1"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"S. 1269 (113th): Community College to Career Fund Act," GovTrack, https://www.govtrack.us/congress/bills/113/s1269</w:t>
      </w:r>
      <w:r w:rsidR="00A06008">
        <w:rPr>
          <w:rFonts w:ascii="Times New Roman" w:hAnsi="Times New Roman" w:cs="Times New Roman"/>
          <w:sz w:val="20"/>
        </w:rPr>
        <w:t>.</w:t>
      </w:r>
    </w:p>
  </w:footnote>
  <w:footnote w:id="26">
    <w:p w14:paraId="1926A153" w14:textId="78C15A88"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"Fact Sheet: A Blueprint to Train Two Million Workers for High-Demand Industries through a Community College to Career Fund," The White House, February 13, 2012, http://www.whitehouse.gov/the-press-office/2012/02/13/fact-sheet-blueprint-train-two-million-workers-high-demand-industries-th</w:t>
      </w:r>
      <w:r w:rsidR="00A06008">
        <w:rPr>
          <w:rFonts w:ascii="Times New Roman" w:hAnsi="Times New Roman" w:cs="Times New Roman"/>
          <w:sz w:val="20"/>
        </w:rPr>
        <w:t>.</w:t>
      </w:r>
    </w:p>
  </w:footnote>
  <w:footnote w:id="27">
    <w:p w14:paraId="7A07B9BA" w14:textId="08B1A901"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"Fact Sheet-White House Unveils America’s College Promise Proposal: Tuition-Free Community College for Responsible Students," The White House, January 9, 2015, http://www.whitehouse.gov/the-press-office/2015/01/09/fact-sheet-white-house-unveils-america-s-</w:t>
      </w:r>
      <w:r w:rsidR="00A06008">
        <w:rPr>
          <w:rFonts w:ascii="Times New Roman" w:hAnsi="Times New Roman" w:cs="Times New Roman"/>
          <w:sz w:val="20"/>
        </w:rPr>
        <w:t>college-promise-proposal-tuitio.</w:t>
      </w:r>
    </w:p>
  </w:footnote>
  <w:footnote w:id="28">
    <w:p w14:paraId="156D06D7"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"Fact Sheet-White House Unveils America’s College Promise Proposal.”</w:t>
      </w:r>
    </w:p>
  </w:footnote>
  <w:footnote w:id="29">
    <w:p w14:paraId="12AC19BC"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"Fact Sheet-White House Unveils America’s College Promise Proposal”; United States Department of Education, "Fiscal Year 2016 Budget," 59.</w:t>
      </w:r>
    </w:p>
  </w:footnote>
  <w:footnote w:id="30">
    <w:p w14:paraId="6F63FA8A"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United States Department of Education, "Fiscal Year 2016 Budget," 60.</w:t>
      </w:r>
    </w:p>
  </w:footnote>
  <w:footnote w:id="31">
    <w:p w14:paraId="698F77A4" w14:textId="22AD529F"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Paul Fain, Third Try Isn't the Charm, Inside Higher Ed, November 15, 2013, https://www.insidehighered.com/news/2013/11/15/students-are-unlikely-graduate-if-they-stop-out-more-once-study-finds</w:t>
      </w:r>
      <w:r w:rsidR="00A06008">
        <w:rPr>
          <w:rFonts w:ascii="Times New Roman" w:hAnsi="Times New Roman" w:cs="Times New Roman"/>
          <w:sz w:val="20"/>
        </w:rPr>
        <w:t>.</w:t>
      </w:r>
    </w:p>
  </w:footnote>
  <w:footnote w:id="32">
    <w:p w14:paraId="3FEDC3FE"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See, eg., Tom Hilliard, "Mobility Makers," Center for an Urban Future, November 2011, https://nycfuture.org/pdf/Mobility_Makers.pdf, 13-15.</w:t>
      </w:r>
    </w:p>
  </w:footnote>
  <w:footnote w:id="33">
    <w:p w14:paraId="1F84B2F4"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Tom Hilliard, "Mobility Makers," 15.</w:t>
      </w:r>
    </w:p>
  </w:footnote>
  <w:footnote w:id="34">
    <w:p w14:paraId="40D1FFA6"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Colleen Moore and Nancy Shulock, "Divided We Fail: Improving Completion and Closing Racial Gaps in California’s Community Colleges," California State Sacramento, October 2010, http://www.csus.edu/ihelp/PDFs/R_Div_We_Fail_1010.pdf, iii.</w:t>
      </w:r>
    </w:p>
  </w:footnote>
  <w:footnote w:id="35">
    <w:p w14:paraId="5349684F" w14:textId="4D0A0AB8"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Data collected from the IPEDS database: http://nces.ed.gov/ipeds/datacenter/InstitutionByName.aspx. Even when one compares students with similar backgrounds and career interests, those who attend technical community colleges have higher certificate program and overall graduation rates. See Judith Scott-Clayton and Madeline Joy Weiss, "Institutional Variation in Credential Completion: Evidence from Washington State Community and Technical Colleges," Community College Research Center, April 2011, http://ccrc.tc.columbia.edu/media/k2/attachments/variation-credentail-completion-washington.pdf, 31-32. Though the authors find that the difference in graduation rates </w:t>
      </w:r>
      <w:r w:rsidRPr="00867388">
        <w:rPr>
          <w:rFonts w:ascii="Times New Roman" w:hAnsi="Times New Roman" w:cs="Times New Roman"/>
          <w:i/>
          <w:sz w:val="20"/>
        </w:rPr>
        <w:t>within</w:t>
      </w:r>
      <w:r w:rsidRPr="00867388">
        <w:rPr>
          <w:rFonts w:ascii="Times New Roman" w:hAnsi="Times New Roman" w:cs="Times New Roman"/>
          <w:sz w:val="20"/>
        </w:rPr>
        <w:t xml:space="preserve"> general and technical community colleges was larger than the difference between them, they acknowledge that “institutional difference” accounts for technical community colleges’ superior performance.</w:t>
      </w:r>
    </w:p>
  </w:footnote>
  <w:footnote w:id="36">
    <w:p w14:paraId="0F29E2AE" w14:textId="6E476DA2"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Nona Willis Aronowitz, "Dropping Out, Again: Why So Many College Students Never Graduate," NBC News, November 17, 2014, http://www.nbcnews.com/news/education/dropping-out-again-why-so-many-college-students-never-graduate-n246956</w:t>
      </w:r>
      <w:r w:rsidR="00A06008">
        <w:rPr>
          <w:rFonts w:ascii="Times New Roman" w:hAnsi="Times New Roman" w:cs="Times New Roman"/>
          <w:sz w:val="20"/>
        </w:rPr>
        <w:t>.</w:t>
      </w:r>
    </w:p>
  </w:footnote>
  <w:footnote w:id="37">
    <w:p w14:paraId="344AA389"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IPEDS data. </w:t>
      </w:r>
    </w:p>
  </w:footnote>
  <w:footnote w:id="38">
    <w:p w14:paraId="2E7096E3" w14:textId="77777777" w:rsidR="00C76A75" w:rsidRPr="00867388" w:rsidRDefault="00C76A75" w:rsidP="00A06008">
      <w:pPr>
        <w:tabs>
          <w:tab w:val="left" w:pos="7084"/>
        </w:tabs>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Conversation with Pamlico College director of public affairs Ben Casey. </w:t>
      </w:r>
      <w:r w:rsidRPr="00867388">
        <w:rPr>
          <w:rFonts w:ascii="Times New Roman" w:hAnsi="Times New Roman" w:cs="Times New Roman"/>
          <w:sz w:val="20"/>
        </w:rPr>
        <w:tab/>
      </w:r>
    </w:p>
  </w:footnote>
  <w:footnote w:id="39">
    <w:p w14:paraId="30594D52"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Conversation with Foothill College president Judy Miner. </w:t>
      </w:r>
    </w:p>
  </w:footnote>
  <w:footnote w:id="40">
    <w:p w14:paraId="6CF807DF"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"Fact Sheet-White House Unveils America’s College Promise Proposal.”</w:t>
      </w:r>
    </w:p>
  </w:footnote>
  <w:footnote w:id="41">
    <w:p w14:paraId="0252E1FD" w14:textId="4545D1D1"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"Evaluation," Accelerated Study in Associate Programs, http://www1.cuny.edu/sites/asap/evaluation/</w:t>
      </w:r>
      <w:r w:rsidR="00A06008">
        <w:rPr>
          <w:rFonts w:ascii="Times New Roman" w:hAnsi="Times New Roman" w:cs="Times New Roman"/>
          <w:sz w:val="20"/>
        </w:rPr>
        <w:t>.</w:t>
      </w:r>
    </w:p>
  </w:footnote>
  <w:footnote w:id="42">
    <w:p w14:paraId="40B450A5" w14:textId="228F2368"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"Institutional Revenues per Student at Public Institutions over Time," The College Board, http://trends.collegeboard.org/college-pricing/figures-tables/institutional-revenues-per-student-public-institutions-time</w:t>
      </w:r>
      <w:r w:rsidR="00A06008">
        <w:rPr>
          <w:rFonts w:ascii="Times New Roman" w:hAnsi="Times New Roman" w:cs="Times New Roman"/>
          <w:sz w:val="20"/>
        </w:rPr>
        <w:t>.</w:t>
      </w:r>
    </w:p>
  </w:footnote>
  <w:footnote w:id="43">
    <w:p w14:paraId="6086AA73"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Alicia C. Dowd and Linda Taing Shieh, "Community College Financing: Equity, Efficiency, and Accountability," 39-40. </w:t>
      </w:r>
    </w:p>
  </w:footnote>
  <w:footnote w:id="44">
    <w:p w14:paraId="2945ECD3" w14:textId="684E1682"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"Subsidized and Unsubsidized Loans," Federal Student Aid, https://studentaid.ed.gov/types/loans/subsidized-unsubsidized#eligibility-time-limit</w:t>
      </w:r>
      <w:r w:rsidR="00A06008">
        <w:rPr>
          <w:rFonts w:ascii="Times New Roman" w:hAnsi="Times New Roman" w:cs="Times New Roman"/>
          <w:sz w:val="20"/>
        </w:rPr>
        <w:t>.</w:t>
      </w:r>
    </w:p>
  </w:footnote>
  <w:footnote w:id="45">
    <w:p w14:paraId="7A9B1578" w14:textId="16C26F3E"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"Federal Pell Grants," Federal Student Aid, https://studentaid.ed.gov/types/grants-scholarships/pell#how-much-money</w:t>
      </w:r>
      <w:r w:rsidR="00A06008">
        <w:rPr>
          <w:rFonts w:ascii="Times New Roman" w:hAnsi="Times New Roman" w:cs="Times New Roman"/>
          <w:sz w:val="20"/>
        </w:rPr>
        <w:t>.</w:t>
      </w:r>
    </w:p>
  </w:footnote>
  <w:footnote w:id="46">
    <w:p w14:paraId="2A938CFD" w14:textId="77777777" w:rsidR="00C76A75" w:rsidRPr="00867388"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IPEDS data. </w:t>
      </w:r>
    </w:p>
  </w:footnote>
  <w:footnote w:id="47">
    <w:p w14:paraId="79948B11" w14:textId="71D5D91C" w:rsidR="00C76A75" w:rsidRPr="00AF672F" w:rsidRDefault="00C76A75" w:rsidP="00A06008">
      <w:pPr>
        <w:spacing w:line="240" w:lineRule="auto"/>
        <w:rPr>
          <w:rFonts w:ascii="Times New Roman" w:hAnsi="Times New Roman" w:cs="Times New Roman"/>
          <w:sz w:val="20"/>
        </w:rPr>
      </w:pPr>
      <w:r w:rsidRPr="00867388">
        <w:rPr>
          <w:rFonts w:ascii="Times New Roman" w:hAnsi="Times New Roman" w:cs="Times New Roman"/>
          <w:sz w:val="20"/>
          <w:vertAlign w:val="superscript"/>
        </w:rPr>
        <w:footnoteRef/>
      </w:r>
      <w:r w:rsidRPr="00867388">
        <w:rPr>
          <w:rFonts w:ascii="Times New Roman" w:hAnsi="Times New Roman" w:cs="Times New Roman"/>
          <w:sz w:val="20"/>
        </w:rPr>
        <w:t xml:space="preserve"> Conversation with Linn State Technical College president Donald Claycom</w:t>
      </w:r>
      <w:r w:rsidR="00A06008">
        <w:rPr>
          <w:rFonts w:ascii="Times New Roman" w:hAnsi="Times New Roman" w:cs="Times New Roman"/>
          <w:sz w:val="20"/>
        </w:rPr>
        <w:t>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F8"/>
    <w:rsid w:val="00000BEC"/>
    <w:rsid w:val="00001325"/>
    <w:rsid w:val="0001037A"/>
    <w:rsid w:val="00016128"/>
    <w:rsid w:val="00016A9A"/>
    <w:rsid w:val="000276EB"/>
    <w:rsid w:val="0003567A"/>
    <w:rsid w:val="000415E4"/>
    <w:rsid w:val="00056BF8"/>
    <w:rsid w:val="000607A4"/>
    <w:rsid w:val="00060E5B"/>
    <w:rsid w:val="000731F4"/>
    <w:rsid w:val="00076103"/>
    <w:rsid w:val="00076660"/>
    <w:rsid w:val="00081BF5"/>
    <w:rsid w:val="0008345F"/>
    <w:rsid w:val="000A02D2"/>
    <w:rsid w:val="000A1AE5"/>
    <w:rsid w:val="000A7F00"/>
    <w:rsid w:val="000B1398"/>
    <w:rsid w:val="000B3D82"/>
    <w:rsid w:val="000B4405"/>
    <w:rsid w:val="000B712E"/>
    <w:rsid w:val="000B7913"/>
    <w:rsid w:val="000C11AC"/>
    <w:rsid w:val="000C4E10"/>
    <w:rsid w:val="000C5334"/>
    <w:rsid w:val="000C6B32"/>
    <w:rsid w:val="000E329D"/>
    <w:rsid w:val="000F3CCE"/>
    <w:rsid w:val="00105B6B"/>
    <w:rsid w:val="00113813"/>
    <w:rsid w:val="001218A7"/>
    <w:rsid w:val="00121CBD"/>
    <w:rsid w:val="00126483"/>
    <w:rsid w:val="00136AC7"/>
    <w:rsid w:val="001533AB"/>
    <w:rsid w:val="00170EE5"/>
    <w:rsid w:val="00176177"/>
    <w:rsid w:val="00176ED5"/>
    <w:rsid w:val="001916A8"/>
    <w:rsid w:val="001949F2"/>
    <w:rsid w:val="001A495A"/>
    <w:rsid w:val="001A4ACF"/>
    <w:rsid w:val="001A751D"/>
    <w:rsid w:val="001B2884"/>
    <w:rsid w:val="001B624D"/>
    <w:rsid w:val="001B749E"/>
    <w:rsid w:val="001B7630"/>
    <w:rsid w:val="001C0115"/>
    <w:rsid w:val="001C48A9"/>
    <w:rsid w:val="001C638C"/>
    <w:rsid w:val="001C7918"/>
    <w:rsid w:val="001D2C1B"/>
    <w:rsid w:val="001E51BD"/>
    <w:rsid w:val="001E745E"/>
    <w:rsid w:val="001F31D2"/>
    <w:rsid w:val="001F34D5"/>
    <w:rsid w:val="002027FE"/>
    <w:rsid w:val="00204F73"/>
    <w:rsid w:val="00206936"/>
    <w:rsid w:val="00207453"/>
    <w:rsid w:val="00207ECA"/>
    <w:rsid w:val="002141BD"/>
    <w:rsid w:val="00215C5A"/>
    <w:rsid w:val="00230286"/>
    <w:rsid w:val="00231DEE"/>
    <w:rsid w:val="00237794"/>
    <w:rsid w:val="002434FB"/>
    <w:rsid w:val="00252E7E"/>
    <w:rsid w:val="00256DC6"/>
    <w:rsid w:val="0026240F"/>
    <w:rsid w:val="00277E57"/>
    <w:rsid w:val="002B2B90"/>
    <w:rsid w:val="002B3E51"/>
    <w:rsid w:val="002B4DAB"/>
    <w:rsid w:val="002C2C9D"/>
    <w:rsid w:val="002C526B"/>
    <w:rsid w:val="002D56CE"/>
    <w:rsid w:val="002E2A6C"/>
    <w:rsid w:val="002E6526"/>
    <w:rsid w:val="002E6731"/>
    <w:rsid w:val="00314977"/>
    <w:rsid w:val="0032230A"/>
    <w:rsid w:val="00331ACF"/>
    <w:rsid w:val="003369E3"/>
    <w:rsid w:val="003414B2"/>
    <w:rsid w:val="0034221C"/>
    <w:rsid w:val="003567A5"/>
    <w:rsid w:val="00362B85"/>
    <w:rsid w:val="003708C7"/>
    <w:rsid w:val="00376668"/>
    <w:rsid w:val="00384DB2"/>
    <w:rsid w:val="003A2612"/>
    <w:rsid w:val="003A658F"/>
    <w:rsid w:val="003A6B6B"/>
    <w:rsid w:val="003B60F9"/>
    <w:rsid w:val="003C7266"/>
    <w:rsid w:val="003D74EE"/>
    <w:rsid w:val="003E7A47"/>
    <w:rsid w:val="003F75A5"/>
    <w:rsid w:val="00402912"/>
    <w:rsid w:val="00410343"/>
    <w:rsid w:val="00410DEF"/>
    <w:rsid w:val="00431817"/>
    <w:rsid w:val="00434D61"/>
    <w:rsid w:val="00437F32"/>
    <w:rsid w:val="004452FF"/>
    <w:rsid w:val="00446AAF"/>
    <w:rsid w:val="004512CD"/>
    <w:rsid w:val="0046116A"/>
    <w:rsid w:val="004676E1"/>
    <w:rsid w:val="004709AE"/>
    <w:rsid w:val="00472188"/>
    <w:rsid w:val="00490FF8"/>
    <w:rsid w:val="004A0941"/>
    <w:rsid w:val="004B407E"/>
    <w:rsid w:val="004B6A88"/>
    <w:rsid w:val="004C40B1"/>
    <w:rsid w:val="004C7B30"/>
    <w:rsid w:val="004D0DFB"/>
    <w:rsid w:val="004E2B4E"/>
    <w:rsid w:val="004F7711"/>
    <w:rsid w:val="005006ED"/>
    <w:rsid w:val="005032A3"/>
    <w:rsid w:val="00504350"/>
    <w:rsid w:val="00504B2C"/>
    <w:rsid w:val="00504B74"/>
    <w:rsid w:val="00505E17"/>
    <w:rsid w:val="005068FE"/>
    <w:rsid w:val="0050715C"/>
    <w:rsid w:val="005135C7"/>
    <w:rsid w:val="005254DC"/>
    <w:rsid w:val="005260DD"/>
    <w:rsid w:val="005319D2"/>
    <w:rsid w:val="00535828"/>
    <w:rsid w:val="00536B28"/>
    <w:rsid w:val="005417F0"/>
    <w:rsid w:val="005433AC"/>
    <w:rsid w:val="00543FD2"/>
    <w:rsid w:val="00551180"/>
    <w:rsid w:val="00582C52"/>
    <w:rsid w:val="00586402"/>
    <w:rsid w:val="00587A12"/>
    <w:rsid w:val="005A5552"/>
    <w:rsid w:val="005A7FF7"/>
    <w:rsid w:val="005B2209"/>
    <w:rsid w:val="005C084A"/>
    <w:rsid w:val="005C60F2"/>
    <w:rsid w:val="005D1D49"/>
    <w:rsid w:val="005D3B95"/>
    <w:rsid w:val="005D7C1F"/>
    <w:rsid w:val="005E7651"/>
    <w:rsid w:val="005F4072"/>
    <w:rsid w:val="005F46EA"/>
    <w:rsid w:val="006009A3"/>
    <w:rsid w:val="00622A4D"/>
    <w:rsid w:val="00631D56"/>
    <w:rsid w:val="00636C80"/>
    <w:rsid w:val="006400E1"/>
    <w:rsid w:val="0064293A"/>
    <w:rsid w:val="00650E6E"/>
    <w:rsid w:val="006614D0"/>
    <w:rsid w:val="006662E2"/>
    <w:rsid w:val="0068456B"/>
    <w:rsid w:val="006852C5"/>
    <w:rsid w:val="006907F8"/>
    <w:rsid w:val="00694D32"/>
    <w:rsid w:val="006B17CE"/>
    <w:rsid w:val="006C23EA"/>
    <w:rsid w:val="006C7734"/>
    <w:rsid w:val="006D47C8"/>
    <w:rsid w:val="006F0D38"/>
    <w:rsid w:val="006F34C2"/>
    <w:rsid w:val="00710AC6"/>
    <w:rsid w:val="00714A02"/>
    <w:rsid w:val="00722C5A"/>
    <w:rsid w:val="0072442A"/>
    <w:rsid w:val="007315A0"/>
    <w:rsid w:val="007336EA"/>
    <w:rsid w:val="00733BCB"/>
    <w:rsid w:val="007360DC"/>
    <w:rsid w:val="00751FA0"/>
    <w:rsid w:val="0075431E"/>
    <w:rsid w:val="00754EDA"/>
    <w:rsid w:val="007640A6"/>
    <w:rsid w:val="00767D2B"/>
    <w:rsid w:val="00774289"/>
    <w:rsid w:val="00775226"/>
    <w:rsid w:val="007772BC"/>
    <w:rsid w:val="00782C0D"/>
    <w:rsid w:val="007830E8"/>
    <w:rsid w:val="00783120"/>
    <w:rsid w:val="00786FB3"/>
    <w:rsid w:val="00792CB9"/>
    <w:rsid w:val="007946C0"/>
    <w:rsid w:val="00797F27"/>
    <w:rsid w:val="007A1478"/>
    <w:rsid w:val="007B3A09"/>
    <w:rsid w:val="007D6387"/>
    <w:rsid w:val="007E0126"/>
    <w:rsid w:val="007E317B"/>
    <w:rsid w:val="00807628"/>
    <w:rsid w:val="00810CB0"/>
    <w:rsid w:val="008168BC"/>
    <w:rsid w:val="00820C22"/>
    <w:rsid w:val="008252C9"/>
    <w:rsid w:val="008419B7"/>
    <w:rsid w:val="00852DC8"/>
    <w:rsid w:val="008652AA"/>
    <w:rsid w:val="008660E0"/>
    <w:rsid w:val="00867388"/>
    <w:rsid w:val="008A2035"/>
    <w:rsid w:val="008A2B69"/>
    <w:rsid w:val="008A50DE"/>
    <w:rsid w:val="008A525D"/>
    <w:rsid w:val="008A684D"/>
    <w:rsid w:val="008B2C4B"/>
    <w:rsid w:val="008B427E"/>
    <w:rsid w:val="008B4ADE"/>
    <w:rsid w:val="008C1229"/>
    <w:rsid w:val="008D2763"/>
    <w:rsid w:val="008E216D"/>
    <w:rsid w:val="008E2271"/>
    <w:rsid w:val="008E6507"/>
    <w:rsid w:val="008F1AC9"/>
    <w:rsid w:val="008F319B"/>
    <w:rsid w:val="008F7A96"/>
    <w:rsid w:val="00904537"/>
    <w:rsid w:val="00915EFD"/>
    <w:rsid w:val="009246EE"/>
    <w:rsid w:val="009269D1"/>
    <w:rsid w:val="0092740C"/>
    <w:rsid w:val="00934638"/>
    <w:rsid w:val="00936F6A"/>
    <w:rsid w:val="00943CD6"/>
    <w:rsid w:val="00946573"/>
    <w:rsid w:val="00950499"/>
    <w:rsid w:val="00961977"/>
    <w:rsid w:val="009629ED"/>
    <w:rsid w:val="00974354"/>
    <w:rsid w:val="00977ED9"/>
    <w:rsid w:val="009B765D"/>
    <w:rsid w:val="009C3ED6"/>
    <w:rsid w:val="009D678C"/>
    <w:rsid w:val="009E17A5"/>
    <w:rsid w:val="009F59F4"/>
    <w:rsid w:val="00A011F8"/>
    <w:rsid w:val="00A06008"/>
    <w:rsid w:val="00A22077"/>
    <w:rsid w:val="00A35964"/>
    <w:rsid w:val="00A46713"/>
    <w:rsid w:val="00A551B0"/>
    <w:rsid w:val="00A60B76"/>
    <w:rsid w:val="00A70A26"/>
    <w:rsid w:val="00A712C9"/>
    <w:rsid w:val="00A80EA2"/>
    <w:rsid w:val="00A86FA6"/>
    <w:rsid w:val="00A92E14"/>
    <w:rsid w:val="00AB7DCE"/>
    <w:rsid w:val="00AC2E19"/>
    <w:rsid w:val="00AE2BEB"/>
    <w:rsid w:val="00AE3A7D"/>
    <w:rsid w:val="00AE4C97"/>
    <w:rsid w:val="00AF672F"/>
    <w:rsid w:val="00B00D95"/>
    <w:rsid w:val="00B13F83"/>
    <w:rsid w:val="00B24756"/>
    <w:rsid w:val="00B31820"/>
    <w:rsid w:val="00B31EC8"/>
    <w:rsid w:val="00B34BE5"/>
    <w:rsid w:val="00B401CC"/>
    <w:rsid w:val="00B421ED"/>
    <w:rsid w:val="00B46553"/>
    <w:rsid w:val="00B6098D"/>
    <w:rsid w:val="00B628AC"/>
    <w:rsid w:val="00B91356"/>
    <w:rsid w:val="00BA1114"/>
    <w:rsid w:val="00BA21AA"/>
    <w:rsid w:val="00BA335B"/>
    <w:rsid w:val="00BB5843"/>
    <w:rsid w:val="00BB5F90"/>
    <w:rsid w:val="00BC20B4"/>
    <w:rsid w:val="00BC73A8"/>
    <w:rsid w:val="00BE2B96"/>
    <w:rsid w:val="00C035C0"/>
    <w:rsid w:val="00C06EED"/>
    <w:rsid w:val="00C2679C"/>
    <w:rsid w:val="00C268AC"/>
    <w:rsid w:val="00C30971"/>
    <w:rsid w:val="00C317F6"/>
    <w:rsid w:val="00C369F1"/>
    <w:rsid w:val="00C436FB"/>
    <w:rsid w:val="00C57116"/>
    <w:rsid w:val="00C74479"/>
    <w:rsid w:val="00C76299"/>
    <w:rsid w:val="00C76A75"/>
    <w:rsid w:val="00CC3F45"/>
    <w:rsid w:val="00CD69D6"/>
    <w:rsid w:val="00CD6A51"/>
    <w:rsid w:val="00CE07C1"/>
    <w:rsid w:val="00CF070D"/>
    <w:rsid w:val="00CF1FB3"/>
    <w:rsid w:val="00D06B68"/>
    <w:rsid w:val="00D21AD1"/>
    <w:rsid w:val="00D53DDA"/>
    <w:rsid w:val="00D54F20"/>
    <w:rsid w:val="00D57897"/>
    <w:rsid w:val="00D6476D"/>
    <w:rsid w:val="00D66044"/>
    <w:rsid w:val="00D82016"/>
    <w:rsid w:val="00D8258B"/>
    <w:rsid w:val="00D94349"/>
    <w:rsid w:val="00D97F62"/>
    <w:rsid w:val="00DB6C96"/>
    <w:rsid w:val="00DC5407"/>
    <w:rsid w:val="00DD2538"/>
    <w:rsid w:val="00DF4E02"/>
    <w:rsid w:val="00DF7CFE"/>
    <w:rsid w:val="00E059F1"/>
    <w:rsid w:val="00E110B3"/>
    <w:rsid w:val="00E20537"/>
    <w:rsid w:val="00E20C2E"/>
    <w:rsid w:val="00E2278F"/>
    <w:rsid w:val="00E536A2"/>
    <w:rsid w:val="00E55A5F"/>
    <w:rsid w:val="00E56BA3"/>
    <w:rsid w:val="00E66314"/>
    <w:rsid w:val="00E74148"/>
    <w:rsid w:val="00E91999"/>
    <w:rsid w:val="00EA1966"/>
    <w:rsid w:val="00EB1F27"/>
    <w:rsid w:val="00EB39DA"/>
    <w:rsid w:val="00EB3F1E"/>
    <w:rsid w:val="00EC30F1"/>
    <w:rsid w:val="00EC474A"/>
    <w:rsid w:val="00EC6023"/>
    <w:rsid w:val="00ED22A2"/>
    <w:rsid w:val="00ED38CE"/>
    <w:rsid w:val="00ED7087"/>
    <w:rsid w:val="00ED7873"/>
    <w:rsid w:val="00EE574B"/>
    <w:rsid w:val="00EE5950"/>
    <w:rsid w:val="00EF6564"/>
    <w:rsid w:val="00F03B5F"/>
    <w:rsid w:val="00F055B9"/>
    <w:rsid w:val="00F07385"/>
    <w:rsid w:val="00F11FA4"/>
    <w:rsid w:val="00F15851"/>
    <w:rsid w:val="00F204BE"/>
    <w:rsid w:val="00F2547F"/>
    <w:rsid w:val="00F372E1"/>
    <w:rsid w:val="00F55434"/>
    <w:rsid w:val="00F92104"/>
    <w:rsid w:val="00F96E6E"/>
    <w:rsid w:val="00F97335"/>
    <w:rsid w:val="00F97D61"/>
    <w:rsid w:val="00FA4672"/>
    <w:rsid w:val="00FA5EB3"/>
    <w:rsid w:val="00FB30E0"/>
    <w:rsid w:val="00FB5667"/>
    <w:rsid w:val="00FC16A0"/>
    <w:rsid w:val="00FC69D1"/>
    <w:rsid w:val="00FD20A1"/>
    <w:rsid w:val="00FD2377"/>
    <w:rsid w:val="00FD3904"/>
    <w:rsid w:val="00FF24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1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11F8"/>
    <w:pPr>
      <w:spacing w:after="0"/>
    </w:pPr>
    <w:rPr>
      <w:rFonts w:ascii="Arial" w:eastAsia="Arial" w:hAnsi="Arial" w:cs="Arial"/>
      <w:color w:val="000000"/>
      <w:szCs w:val="20"/>
    </w:rPr>
  </w:style>
  <w:style w:type="paragraph" w:styleId="Heading3">
    <w:name w:val="heading 3"/>
    <w:basedOn w:val="Normal"/>
    <w:next w:val="Normal"/>
    <w:link w:val="Heading3Char"/>
    <w:uiPriority w:val="9"/>
    <w:semiHidden/>
    <w:unhideWhenUsed/>
    <w:qFormat/>
    <w:rsid w:val="00504B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1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1F8"/>
    <w:rPr>
      <w:rFonts w:ascii="Tahoma" w:eastAsia="Arial" w:hAnsi="Tahoma" w:cs="Tahoma"/>
      <w:color w:val="000000"/>
      <w:sz w:val="16"/>
      <w:szCs w:val="16"/>
    </w:rPr>
  </w:style>
  <w:style w:type="paragraph" w:styleId="FootnoteText">
    <w:name w:val="footnote text"/>
    <w:basedOn w:val="Normal"/>
    <w:link w:val="FootnoteTextChar"/>
    <w:uiPriority w:val="99"/>
    <w:unhideWhenUsed/>
    <w:rsid w:val="000E329D"/>
    <w:pPr>
      <w:spacing w:line="240" w:lineRule="auto"/>
    </w:pPr>
    <w:rPr>
      <w:sz w:val="20"/>
    </w:rPr>
  </w:style>
  <w:style w:type="character" w:customStyle="1" w:styleId="FootnoteTextChar">
    <w:name w:val="Footnote Text Char"/>
    <w:basedOn w:val="DefaultParagraphFont"/>
    <w:link w:val="FootnoteText"/>
    <w:uiPriority w:val="99"/>
    <w:rsid w:val="000E329D"/>
    <w:rPr>
      <w:rFonts w:ascii="Arial" w:eastAsia="Arial" w:hAnsi="Arial" w:cs="Arial"/>
      <w:color w:val="000000"/>
      <w:sz w:val="20"/>
      <w:szCs w:val="20"/>
    </w:rPr>
  </w:style>
  <w:style w:type="character" w:styleId="FootnoteReference">
    <w:name w:val="footnote reference"/>
    <w:basedOn w:val="DefaultParagraphFont"/>
    <w:uiPriority w:val="99"/>
    <w:unhideWhenUsed/>
    <w:rsid w:val="000E329D"/>
    <w:rPr>
      <w:vertAlign w:val="superscript"/>
    </w:rPr>
  </w:style>
  <w:style w:type="paragraph" w:styleId="Header">
    <w:name w:val="header"/>
    <w:basedOn w:val="Normal"/>
    <w:link w:val="HeaderChar"/>
    <w:uiPriority w:val="99"/>
    <w:unhideWhenUsed/>
    <w:rsid w:val="000E329D"/>
    <w:pPr>
      <w:tabs>
        <w:tab w:val="center" w:pos="4680"/>
        <w:tab w:val="right" w:pos="9360"/>
      </w:tabs>
      <w:spacing w:line="240" w:lineRule="auto"/>
    </w:pPr>
  </w:style>
  <w:style w:type="character" w:customStyle="1" w:styleId="HeaderChar">
    <w:name w:val="Header Char"/>
    <w:basedOn w:val="DefaultParagraphFont"/>
    <w:link w:val="Header"/>
    <w:uiPriority w:val="99"/>
    <w:rsid w:val="000E329D"/>
    <w:rPr>
      <w:rFonts w:ascii="Arial" w:eastAsia="Arial" w:hAnsi="Arial" w:cs="Arial"/>
      <w:color w:val="000000"/>
      <w:szCs w:val="20"/>
    </w:rPr>
  </w:style>
  <w:style w:type="paragraph" w:styleId="Footer">
    <w:name w:val="footer"/>
    <w:basedOn w:val="Normal"/>
    <w:link w:val="FooterChar"/>
    <w:uiPriority w:val="99"/>
    <w:unhideWhenUsed/>
    <w:rsid w:val="000E329D"/>
    <w:pPr>
      <w:tabs>
        <w:tab w:val="center" w:pos="4680"/>
        <w:tab w:val="right" w:pos="9360"/>
      </w:tabs>
      <w:spacing w:line="240" w:lineRule="auto"/>
    </w:pPr>
  </w:style>
  <w:style w:type="character" w:customStyle="1" w:styleId="FooterChar">
    <w:name w:val="Footer Char"/>
    <w:basedOn w:val="DefaultParagraphFont"/>
    <w:link w:val="Footer"/>
    <w:uiPriority w:val="99"/>
    <w:rsid w:val="000E329D"/>
    <w:rPr>
      <w:rFonts w:ascii="Arial" w:eastAsia="Arial" w:hAnsi="Arial" w:cs="Arial"/>
      <w:color w:val="000000"/>
      <w:szCs w:val="20"/>
    </w:rPr>
  </w:style>
  <w:style w:type="character" w:styleId="Hyperlink">
    <w:name w:val="Hyperlink"/>
    <w:basedOn w:val="DefaultParagraphFont"/>
    <w:uiPriority w:val="99"/>
    <w:unhideWhenUsed/>
    <w:rsid w:val="00586402"/>
    <w:rPr>
      <w:color w:val="0000FF"/>
      <w:u w:val="single"/>
    </w:rPr>
  </w:style>
  <w:style w:type="character" w:styleId="CommentReference">
    <w:name w:val="annotation reference"/>
    <w:basedOn w:val="DefaultParagraphFont"/>
    <w:uiPriority w:val="99"/>
    <w:semiHidden/>
    <w:unhideWhenUsed/>
    <w:rsid w:val="000C5334"/>
    <w:rPr>
      <w:sz w:val="16"/>
      <w:szCs w:val="16"/>
    </w:rPr>
  </w:style>
  <w:style w:type="paragraph" w:styleId="CommentText">
    <w:name w:val="annotation text"/>
    <w:basedOn w:val="Normal"/>
    <w:link w:val="CommentTextChar"/>
    <w:uiPriority w:val="99"/>
    <w:semiHidden/>
    <w:unhideWhenUsed/>
    <w:rsid w:val="000C5334"/>
    <w:pPr>
      <w:spacing w:line="240" w:lineRule="auto"/>
    </w:pPr>
    <w:rPr>
      <w:sz w:val="20"/>
    </w:rPr>
  </w:style>
  <w:style w:type="character" w:customStyle="1" w:styleId="CommentTextChar">
    <w:name w:val="Comment Text Char"/>
    <w:basedOn w:val="DefaultParagraphFont"/>
    <w:link w:val="CommentText"/>
    <w:uiPriority w:val="99"/>
    <w:semiHidden/>
    <w:rsid w:val="000C533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C5334"/>
    <w:rPr>
      <w:b/>
      <w:bCs/>
    </w:rPr>
  </w:style>
  <w:style w:type="character" w:customStyle="1" w:styleId="CommentSubjectChar">
    <w:name w:val="Comment Subject Char"/>
    <w:basedOn w:val="CommentTextChar"/>
    <w:link w:val="CommentSubject"/>
    <w:uiPriority w:val="99"/>
    <w:semiHidden/>
    <w:rsid w:val="000C5334"/>
    <w:rPr>
      <w:rFonts w:ascii="Arial" w:eastAsia="Arial" w:hAnsi="Arial" w:cs="Arial"/>
      <w:b/>
      <w:bCs/>
      <w:color w:val="000000"/>
      <w:sz w:val="20"/>
      <w:szCs w:val="20"/>
    </w:rPr>
  </w:style>
  <w:style w:type="paragraph" w:styleId="Revision">
    <w:name w:val="Revision"/>
    <w:hidden/>
    <w:uiPriority w:val="99"/>
    <w:semiHidden/>
    <w:rsid w:val="00AE2BEB"/>
    <w:pPr>
      <w:spacing w:after="0" w:line="240" w:lineRule="auto"/>
    </w:pPr>
    <w:rPr>
      <w:rFonts w:ascii="Arial" w:eastAsia="Arial" w:hAnsi="Arial" w:cs="Arial"/>
      <w:color w:val="000000"/>
      <w:szCs w:val="20"/>
    </w:rPr>
  </w:style>
  <w:style w:type="character" w:customStyle="1" w:styleId="Heading3Char">
    <w:name w:val="Heading 3 Char"/>
    <w:basedOn w:val="DefaultParagraphFont"/>
    <w:link w:val="Heading3"/>
    <w:uiPriority w:val="9"/>
    <w:semiHidden/>
    <w:rsid w:val="00504B74"/>
    <w:rPr>
      <w:rFonts w:asciiTheme="majorHAnsi" w:eastAsiaTheme="majorEastAsia" w:hAnsiTheme="majorHAnsi" w:cstheme="majorBidi"/>
      <w:b/>
      <w:bCs/>
      <w:color w:val="4F81BD" w:themeColor="accent1"/>
      <w:szCs w:val="20"/>
    </w:rPr>
  </w:style>
  <w:style w:type="character" w:styleId="FollowedHyperlink">
    <w:name w:val="FollowedHyperlink"/>
    <w:basedOn w:val="DefaultParagraphFont"/>
    <w:uiPriority w:val="99"/>
    <w:semiHidden/>
    <w:unhideWhenUsed/>
    <w:rsid w:val="000F3CCE"/>
    <w:rPr>
      <w:color w:val="800080" w:themeColor="followedHyperlink"/>
      <w:u w:val="single"/>
    </w:rPr>
  </w:style>
  <w:style w:type="paragraph" w:styleId="EndnoteText">
    <w:name w:val="endnote text"/>
    <w:basedOn w:val="Normal"/>
    <w:link w:val="EndnoteTextChar"/>
    <w:uiPriority w:val="99"/>
    <w:semiHidden/>
    <w:unhideWhenUsed/>
    <w:rsid w:val="005A5552"/>
    <w:pPr>
      <w:spacing w:line="240" w:lineRule="auto"/>
    </w:pPr>
    <w:rPr>
      <w:sz w:val="20"/>
    </w:rPr>
  </w:style>
  <w:style w:type="character" w:customStyle="1" w:styleId="EndnoteTextChar">
    <w:name w:val="Endnote Text Char"/>
    <w:basedOn w:val="DefaultParagraphFont"/>
    <w:link w:val="EndnoteText"/>
    <w:uiPriority w:val="99"/>
    <w:semiHidden/>
    <w:rsid w:val="005A5552"/>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5A5552"/>
    <w:rPr>
      <w:vertAlign w:val="superscript"/>
    </w:rPr>
  </w:style>
  <w:style w:type="character" w:customStyle="1" w:styleId="apple-converted-space">
    <w:name w:val="apple-converted-space"/>
    <w:basedOn w:val="DefaultParagraphFont"/>
    <w:rsid w:val="00904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11F8"/>
    <w:pPr>
      <w:spacing w:after="0"/>
    </w:pPr>
    <w:rPr>
      <w:rFonts w:ascii="Arial" w:eastAsia="Arial" w:hAnsi="Arial" w:cs="Arial"/>
      <w:color w:val="000000"/>
      <w:szCs w:val="20"/>
    </w:rPr>
  </w:style>
  <w:style w:type="paragraph" w:styleId="Heading3">
    <w:name w:val="heading 3"/>
    <w:basedOn w:val="Normal"/>
    <w:next w:val="Normal"/>
    <w:link w:val="Heading3Char"/>
    <w:uiPriority w:val="9"/>
    <w:semiHidden/>
    <w:unhideWhenUsed/>
    <w:qFormat/>
    <w:rsid w:val="00504B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1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1F8"/>
    <w:rPr>
      <w:rFonts w:ascii="Tahoma" w:eastAsia="Arial" w:hAnsi="Tahoma" w:cs="Tahoma"/>
      <w:color w:val="000000"/>
      <w:sz w:val="16"/>
      <w:szCs w:val="16"/>
    </w:rPr>
  </w:style>
  <w:style w:type="paragraph" w:styleId="FootnoteText">
    <w:name w:val="footnote text"/>
    <w:basedOn w:val="Normal"/>
    <w:link w:val="FootnoteTextChar"/>
    <w:uiPriority w:val="99"/>
    <w:unhideWhenUsed/>
    <w:rsid w:val="000E329D"/>
    <w:pPr>
      <w:spacing w:line="240" w:lineRule="auto"/>
    </w:pPr>
    <w:rPr>
      <w:sz w:val="20"/>
    </w:rPr>
  </w:style>
  <w:style w:type="character" w:customStyle="1" w:styleId="FootnoteTextChar">
    <w:name w:val="Footnote Text Char"/>
    <w:basedOn w:val="DefaultParagraphFont"/>
    <w:link w:val="FootnoteText"/>
    <w:uiPriority w:val="99"/>
    <w:rsid w:val="000E329D"/>
    <w:rPr>
      <w:rFonts w:ascii="Arial" w:eastAsia="Arial" w:hAnsi="Arial" w:cs="Arial"/>
      <w:color w:val="000000"/>
      <w:sz w:val="20"/>
      <w:szCs w:val="20"/>
    </w:rPr>
  </w:style>
  <w:style w:type="character" w:styleId="FootnoteReference">
    <w:name w:val="footnote reference"/>
    <w:basedOn w:val="DefaultParagraphFont"/>
    <w:uiPriority w:val="99"/>
    <w:unhideWhenUsed/>
    <w:rsid w:val="000E329D"/>
    <w:rPr>
      <w:vertAlign w:val="superscript"/>
    </w:rPr>
  </w:style>
  <w:style w:type="paragraph" w:styleId="Header">
    <w:name w:val="header"/>
    <w:basedOn w:val="Normal"/>
    <w:link w:val="HeaderChar"/>
    <w:uiPriority w:val="99"/>
    <w:unhideWhenUsed/>
    <w:rsid w:val="000E329D"/>
    <w:pPr>
      <w:tabs>
        <w:tab w:val="center" w:pos="4680"/>
        <w:tab w:val="right" w:pos="9360"/>
      </w:tabs>
      <w:spacing w:line="240" w:lineRule="auto"/>
    </w:pPr>
  </w:style>
  <w:style w:type="character" w:customStyle="1" w:styleId="HeaderChar">
    <w:name w:val="Header Char"/>
    <w:basedOn w:val="DefaultParagraphFont"/>
    <w:link w:val="Header"/>
    <w:uiPriority w:val="99"/>
    <w:rsid w:val="000E329D"/>
    <w:rPr>
      <w:rFonts w:ascii="Arial" w:eastAsia="Arial" w:hAnsi="Arial" w:cs="Arial"/>
      <w:color w:val="000000"/>
      <w:szCs w:val="20"/>
    </w:rPr>
  </w:style>
  <w:style w:type="paragraph" w:styleId="Footer">
    <w:name w:val="footer"/>
    <w:basedOn w:val="Normal"/>
    <w:link w:val="FooterChar"/>
    <w:uiPriority w:val="99"/>
    <w:unhideWhenUsed/>
    <w:rsid w:val="000E329D"/>
    <w:pPr>
      <w:tabs>
        <w:tab w:val="center" w:pos="4680"/>
        <w:tab w:val="right" w:pos="9360"/>
      </w:tabs>
      <w:spacing w:line="240" w:lineRule="auto"/>
    </w:pPr>
  </w:style>
  <w:style w:type="character" w:customStyle="1" w:styleId="FooterChar">
    <w:name w:val="Footer Char"/>
    <w:basedOn w:val="DefaultParagraphFont"/>
    <w:link w:val="Footer"/>
    <w:uiPriority w:val="99"/>
    <w:rsid w:val="000E329D"/>
    <w:rPr>
      <w:rFonts w:ascii="Arial" w:eastAsia="Arial" w:hAnsi="Arial" w:cs="Arial"/>
      <w:color w:val="000000"/>
      <w:szCs w:val="20"/>
    </w:rPr>
  </w:style>
  <w:style w:type="character" w:styleId="Hyperlink">
    <w:name w:val="Hyperlink"/>
    <w:basedOn w:val="DefaultParagraphFont"/>
    <w:uiPriority w:val="99"/>
    <w:unhideWhenUsed/>
    <w:rsid w:val="00586402"/>
    <w:rPr>
      <w:color w:val="0000FF"/>
      <w:u w:val="single"/>
    </w:rPr>
  </w:style>
  <w:style w:type="character" w:styleId="CommentReference">
    <w:name w:val="annotation reference"/>
    <w:basedOn w:val="DefaultParagraphFont"/>
    <w:uiPriority w:val="99"/>
    <w:semiHidden/>
    <w:unhideWhenUsed/>
    <w:rsid w:val="000C5334"/>
    <w:rPr>
      <w:sz w:val="16"/>
      <w:szCs w:val="16"/>
    </w:rPr>
  </w:style>
  <w:style w:type="paragraph" w:styleId="CommentText">
    <w:name w:val="annotation text"/>
    <w:basedOn w:val="Normal"/>
    <w:link w:val="CommentTextChar"/>
    <w:uiPriority w:val="99"/>
    <w:semiHidden/>
    <w:unhideWhenUsed/>
    <w:rsid w:val="000C5334"/>
    <w:pPr>
      <w:spacing w:line="240" w:lineRule="auto"/>
    </w:pPr>
    <w:rPr>
      <w:sz w:val="20"/>
    </w:rPr>
  </w:style>
  <w:style w:type="character" w:customStyle="1" w:styleId="CommentTextChar">
    <w:name w:val="Comment Text Char"/>
    <w:basedOn w:val="DefaultParagraphFont"/>
    <w:link w:val="CommentText"/>
    <w:uiPriority w:val="99"/>
    <w:semiHidden/>
    <w:rsid w:val="000C533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C5334"/>
    <w:rPr>
      <w:b/>
      <w:bCs/>
    </w:rPr>
  </w:style>
  <w:style w:type="character" w:customStyle="1" w:styleId="CommentSubjectChar">
    <w:name w:val="Comment Subject Char"/>
    <w:basedOn w:val="CommentTextChar"/>
    <w:link w:val="CommentSubject"/>
    <w:uiPriority w:val="99"/>
    <w:semiHidden/>
    <w:rsid w:val="000C5334"/>
    <w:rPr>
      <w:rFonts w:ascii="Arial" w:eastAsia="Arial" w:hAnsi="Arial" w:cs="Arial"/>
      <w:b/>
      <w:bCs/>
      <w:color w:val="000000"/>
      <w:sz w:val="20"/>
      <w:szCs w:val="20"/>
    </w:rPr>
  </w:style>
  <w:style w:type="paragraph" w:styleId="Revision">
    <w:name w:val="Revision"/>
    <w:hidden/>
    <w:uiPriority w:val="99"/>
    <w:semiHidden/>
    <w:rsid w:val="00AE2BEB"/>
    <w:pPr>
      <w:spacing w:after="0" w:line="240" w:lineRule="auto"/>
    </w:pPr>
    <w:rPr>
      <w:rFonts w:ascii="Arial" w:eastAsia="Arial" w:hAnsi="Arial" w:cs="Arial"/>
      <w:color w:val="000000"/>
      <w:szCs w:val="20"/>
    </w:rPr>
  </w:style>
  <w:style w:type="character" w:customStyle="1" w:styleId="Heading3Char">
    <w:name w:val="Heading 3 Char"/>
    <w:basedOn w:val="DefaultParagraphFont"/>
    <w:link w:val="Heading3"/>
    <w:uiPriority w:val="9"/>
    <w:semiHidden/>
    <w:rsid w:val="00504B74"/>
    <w:rPr>
      <w:rFonts w:asciiTheme="majorHAnsi" w:eastAsiaTheme="majorEastAsia" w:hAnsiTheme="majorHAnsi" w:cstheme="majorBidi"/>
      <w:b/>
      <w:bCs/>
      <w:color w:val="4F81BD" w:themeColor="accent1"/>
      <w:szCs w:val="20"/>
    </w:rPr>
  </w:style>
  <w:style w:type="character" w:styleId="FollowedHyperlink">
    <w:name w:val="FollowedHyperlink"/>
    <w:basedOn w:val="DefaultParagraphFont"/>
    <w:uiPriority w:val="99"/>
    <w:semiHidden/>
    <w:unhideWhenUsed/>
    <w:rsid w:val="000F3CCE"/>
    <w:rPr>
      <w:color w:val="800080" w:themeColor="followedHyperlink"/>
      <w:u w:val="single"/>
    </w:rPr>
  </w:style>
  <w:style w:type="paragraph" w:styleId="EndnoteText">
    <w:name w:val="endnote text"/>
    <w:basedOn w:val="Normal"/>
    <w:link w:val="EndnoteTextChar"/>
    <w:uiPriority w:val="99"/>
    <w:semiHidden/>
    <w:unhideWhenUsed/>
    <w:rsid w:val="005A5552"/>
    <w:pPr>
      <w:spacing w:line="240" w:lineRule="auto"/>
    </w:pPr>
    <w:rPr>
      <w:sz w:val="20"/>
    </w:rPr>
  </w:style>
  <w:style w:type="character" w:customStyle="1" w:styleId="EndnoteTextChar">
    <w:name w:val="Endnote Text Char"/>
    <w:basedOn w:val="DefaultParagraphFont"/>
    <w:link w:val="EndnoteText"/>
    <w:uiPriority w:val="99"/>
    <w:semiHidden/>
    <w:rsid w:val="005A5552"/>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5A5552"/>
    <w:rPr>
      <w:vertAlign w:val="superscript"/>
    </w:rPr>
  </w:style>
  <w:style w:type="character" w:customStyle="1" w:styleId="apple-converted-space">
    <w:name w:val="apple-converted-space"/>
    <w:basedOn w:val="DefaultParagraphFont"/>
    <w:rsid w:val="00904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75425">
      <w:bodyDiv w:val="1"/>
      <w:marLeft w:val="0"/>
      <w:marRight w:val="0"/>
      <w:marTop w:val="0"/>
      <w:marBottom w:val="0"/>
      <w:divBdr>
        <w:top w:val="none" w:sz="0" w:space="0" w:color="auto"/>
        <w:left w:val="none" w:sz="0" w:space="0" w:color="auto"/>
        <w:bottom w:val="none" w:sz="0" w:space="0" w:color="auto"/>
        <w:right w:val="none" w:sz="0" w:space="0" w:color="auto"/>
      </w:divBdr>
    </w:div>
    <w:div w:id="918684180">
      <w:bodyDiv w:val="1"/>
      <w:marLeft w:val="0"/>
      <w:marRight w:val="0"/>
      <w:marTop w:val="0"/>
      <w:marBottom w:val="0"/>
      <w:divBdr>
        <w:top w:val="none" w:sz="0" w:space="0" w:color="auto"/>
        <w:left w:val="none" w:sz="0" w:space="0" w:color="auto"/>
        <w:bottom w:val="none" w:sz="0" w:space="0" w:color="auto"/>
        <w:right w:val="none" w:sz="0" w:space="0" w:color="auto"/>
      </w:divBdr>
    </w:div>
    <w:div w:id="1006981140">
      <w:bodyDiv w:val="1"/>
      <w:marLeft w:val="0"/>
      <w:marRight w:val="0"/>
      <w:marTop w:val="0"/>
      <w:marBottom w:val="0"/>
      <w:divBdr>
        <w:top w:val="none" w:sz="0" w:space="0" w:color="auto"/>
        <w:left w:val="none" w:sz="0" w:space="0" w:color="auto"/>
        <w:bottom w:val="none" w:sz="0" w:space="0" w:color="auto"/>
        <w:right w:val="none" w:sz="0" w:space="0" w:color="auto"/>
      </w:divBdr>
    </w:div>
    <w:div w:id="1692799780">
      <w:bodyDiv w:val="1"/>
      <w:marLeft w:val="0"/>
      <w:marRight w:val="0"/>
      <w:marTop w:val="0"/>
      <w:marBottom w:val="0"/>
      <w:divBdr>
        <w:top w:val="none" w:sz="0" w:space="0" w:color="auto"/>
        <w:left w:val="none" w:sz="0" w:space="0" w:color="auto"/>
        <w:bottom w:val="none" w:sz="0" w:space="0" w:color="auto"/>
        <w:right w:val="none" w:sz="0" w:space="0" w:color="auto"/>
      </w:divBdr>
    </w:div>
    <w:div w:id="19759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es.ed.gov/pubs2014/2014083.pdf" TargetMode="External"/><Relationship Id="rId13" Type="http://schemas.openxmlformats.org/officeDocument/2006/relationships/chart" Target="charts/chart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sa=t&amp;rct=j&amp;q=&amp;esrc=s&amp;source=web&amp;cd=4&amp;cad=rja&amp;uact=8&amp;ved=0CC8QFjADahUKEwisiLbv1YHIAhXDFT4KHVm7B24&amp;url=https%3A%2F%2Fnscresearchcenter.org%2F&amp;usg=AFQjCNF1sCkqUX2fOj4m4uJQO9vO4EOY6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url?sa=t&amp;rct=j&amp;q=&amp;esrc=s&amp;source=web&amp;cd=1&amp;cad=rja&amp;uact=8&amp;ved=0CB4QFjAAahUKEwjBtYykr-_HAhWHGD4KHTPSDxA&amp;url=https%3A%2F%2Fnces.ed.gov%2Fipeds%2F&amp;usg=AFQjCNFmUUL7eZKpsXOb7y6Wi1Pa6Wcn_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www.doleta.gov/taaccct/" TargetMode="External"/><Relationship Id="rId2" Type="http://schemas.openxmlformats.org/officeDocument/2006/relationships/hyperlink" Target="https://www.tgslc.org/pdf/Behind-the-Numbers.pdf" TargetMode="External"/><Relationship Id="rId1" Type="http://schemas.openxmlformats.org/officeDocument/2006/relationships/hyperlink" Target="http://nscresearchcenter.org/wp-content/uploads/SignatureReport8.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Sheet1!$B$24</c:f>
              <c:strCache>
                <c:ptCount val="1"/>
                <c:pt idx="0">
                  <c:v>Public 2-year colleges</c:v>
                </c:pt>
              </c:strCache>
            </c:strRef>
          </c:tx>
          <c:marker>
            <c:symbol val="none"/>
          </c:marker>
          <c:cat>
            <c:strRef>
              <c:f>Sheet1!$A$25:$A$31</c:f>
              <c:strCache>
                <c:ptCount val="7"/>
                <c:pt idx="0">
                  <c:v>2004-05</c:v>
                </c:pt>
                <c:pt idx="1">
                  <c:v>2009-10</c:v>
                </c:pt>
                <c:pt idx="2">
                  <c:v>2010-11</c:v>
                </c:pt>
                <c:pt idx="3">
                  <c:v>2011-12</c:v>
                </c:pt>
                <c:pt idx="4">
                  <c:v>2012-13</c:v>
                </c:pt>
                <c:pt idx="5">
                  <c:v>2013-2014</c:v>
                </c:pt>
                <c:pt idx="6">
                  <c:v>2014-2015</c:v>
                </c:pt>
              </c:strCache>
            </c:strRef>
          </c:cat>
          <c:val>
            <c:numRef>
              <c:f>Sheet1!$B$25:$B$31</c:f>
              <c:numCache>
                <c:formatCode>"$"#,##0_);[Red]\("$"#,##0\)</c:formatCode>
                <c:ptCount val="7"/>
                <c:pt idx="0">
                  <c:v>7150</c:v>
                </c:pt>
                <c:pt idx="1">
                  <c:v>6670</c:v>
                </c:pt>
                <c:pt idx="2">
                  <c:v>6380</c:v>
                </c:pt>
                <c:pt idx="3">
                  <c:v>6120</c:v>
                </c:pt>
                <c:pt idx="4">
                  <c:v>6100</c:v>
                </c:pt>
                <c:pt idx="5">
                  <c:v>5910</c:v>
                </c:pt>
                <c:pt idx="6">
                  <c:v>5960</c:v>
                </c:pt>
              </c:numCache>
            </c:numRef>
          </c:val>
          <c:smooth val="0"/>
        </c:ser>
        <c:ser>
          <c:idx val="1"/>
          <c:order val="1"/>
          <c:tx>
            <c:strRef>
              <c:f>Sheet1!$C$24</c:f>
              <c:strCache>
                <c:ptCount val="1"/>
                <c:pt idx="0">
                  <c:v>Public 4-year colleges</c:v>
                </c:pt>
              </c:strCache>
            </c:strRef>
          </c:tx>
          <c:marker>
            <c:symbol val="none"/>
          </c:marker>
          <c:cat>
            <c:strRef>
              <c:f>Sheet1!$A$25:$A$31</c:f>
              <c:strCache>
                <c:ptCount val="7"/>
                <c:pt idx="0">
                  <c:v>2004-05</c:v>
                </c:pt>
                <c:pt idx="1">
                  <c:v>2009-10</c:v>
                </c:pt>
                <c:pt idx="2">
                  <c:v>2010-11</c:v>
                </c:pt>
                <c:pt idx="3">
                  <c:v>2011-12</c:v>
                </c:pt>
                <c:pt idx="4">
                  <c:v>2012-13</c:v>
                </c:pt>
                <c:pt idx="5">
                  <c:v>2013-2014</c:v>
                </c:pt>
                <c:pt idx="6">
                  <c:v>2014-2015</c:v>
                </c:pt>
              </c:strCache>
            </c:strRef>
          </c:cat>
          <c:val>
            <c:numRef>
              <c:f>Sheet1!$C$25:$C$31</c:f>
              <c:numCache>
                <c:formatCode>"$"#,##0_);[Red]\("$"#,##0\)</c:formatCode>
                <c:ptCount val="7"/>
                <c:pt idx="0">
                  <c:v>10150</c:v>
                </c:pt>
                <c:pt idx="1">
                  <c:v>11050</c:v>
                </c:pt>
                <c:pt idx="2">
                  <c:v>11480</c:v>
                </c:pt>
                <c:pt idx="3">
                  <c:v>12320</c:v>
                </c:pt>
                <c:pt idx="4">
                  <c:v>12690</c:v>
                </c:pt>
                <c:pt idx="5">
                  <c:v>12640</c:v>
                </c:pt>
                <c:pt idx="6">
                  <c:v>12830</c:v>
                </c:pt>
              </c:numCache>
            </c:numRef>
          </c:val>
          <c:smooth val="0"/>
        </c:ser>
        <c:ser>
          <c:idx val="2"/>
          <c:order val="2"/>
          <c:tx>
            <c:strRef>
              <c:f>Sheet1!$D$24</c:f>
              <c:strCache>
                <c:ptCount val="1"/>
                <c:pt idx="0">
                  <c:v>Private-non-profit 4-year colleges</c:v>
                </c:pt>
              </c:strCache>
            </c:strRef>
          </c:tx>
          <c:marker>
            <c:symbol val="none"/>
          </c:marker>
          <c:cat>
            <c:strRef>
              <c:f>Sheet1!$A$25:$A$31</c:f>
              <c:strCache>
                <c:ptCount val="7"/>
                <c:pt idx="0">
                  <c:v>2004-05</c:v>
                </c:pt>
                <c:pt idx="1">
                  <c:v>2009-10</c:v>
                </c:pt>
                <c:pt idx="2">
                  <c:v>2010-11</c:v>
                </c:pt>
                <c:pt idx="3">
                  <c:v>2011-12</c:v>
                </c:pt>
                <c:pt idx="4">
                  <c:v>2012-13</c:v>
                </c:pt>
                <c:pt idx="5">
                  <c:v>2013-2014</c:v>
                </c:pt>
                <c:pt idx="6">
                  <c:v>2014-2015</c:v>
                </c:pt>
              </c:strCache>
            </c:strRef>
          </c:cat>
          <c:val>
            <c:numRef>
              <c:f>Sheet1!$D$25:$D$31</c:f>
              <c:numCache>
                <c:formatCode>"$"#,##0_);[Red]\("$"#,##0\)</c:formatCode>
                <c:ptCount val="7"/>
                <c:pt idx="0">
                  <c:v>23500</c:v>
                </c:pt>
                <c:pt idx="1">
                  <c:v>23050</c:v>
                </c:pt>
                <c:pt idx="2">
                  <c:v>22610</c:v>
                </c:pt>
                <c:pt idx="3">
                  <c:v>22550</c:v>
                </c:pt>
                <c:pt idx="4">
                  <c:v>22990</c:v>
                </c:pt>
                <c:pt idx="5">
                  <c:v>22900</c:v>
                </c:pt>
                <c:pt idx="6">
                  <c:v>23550</c:v>
                </c:pt>
              </c:numCache>
            </c:numRef>
          </c:val>
          <c:smooth val="0"/>
        </c:ser>
        <c:dLbls>
          <c:showLegendKey val="0"/>
          <c:showVal val="0"/>
          <c:showCatName val="0"/>
          <c:showSerName val="0"/>
          <c:showPercent val="0"/>
          <c:showBubbleSize val="0"/>
        </c:dLbls>
        <c:marker val="1"/>
        <c:smooth val="0"/>
        <c:axId val="82840064"/>
        <c:axId val="38608192"/>
      </c:lineChart>
      <c:catAx>
        <c:axId val="82840064"/>
        <c:scaling>
          <c:orientation val="minMax"/>
        </c:scaling>
        <c:delete val="0"/>
        <c:axPos val="b"/>
        <c:majorTickMark val="out"/>
        <c:minorTickMark val="none"/>
        <c:tickLblPos val="nextTo"/>
        <c:crossAx val="38608192"/>
        <c:crosses val="autoZero"/>
        <c:auto val="1"/>
        <c:lblAlgn val="ctr"/>
        <c:lblOffset val="100"/>
        <c:noMultiLvlLbl val="0"/>
      </c:catAx>
      <c:valAx>
        <c:axId val="38608192"/>
        <c:scaling>
          <c:orientation val="minMax"/>
        </c:scaling>
        <c:delete val="0"/>
        <c:axPos val="l"/>
        <c:majorGridlines/>
        <c:numFmt formatCode="&quot;$&quot;#,##0_);[Red]\(&quot;$&quot;#,##0\)" sourceLinked="1"/>
        <c:majorTickMark val="out"/>
        <c:minorTickMark val="none"/>
        <c:tickLblPos val="nextTo"/>
        <c:crossAx val="828400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Sheet1!$A$2</c:f>
              <c:strCache>
                <c:ptCount val="1"/>
                <c:pt idx="0">
                  <c:v>Public institutions</c:v>
                </c:pt>
              </c:strCache>
            </c:strRef>
          </c:tx>
          <c:marker>
            <c:symbol val="none"/>
          </c:marker>
          <c:cat>
            <c:numRef>
              <c:f>Sheet1!$B$1:$D$1</c:f>
              <c:numCache>
                <c:formatCode>General</c:formatCode>
                <c:ptCount val="3"/>
                <c:pt idx="0">
                  <c:v>2000</c:v>
                </c:pt>
                <c:pt idx="1">
                  <c:v>2005</c:v>
                </c:pt>
                <c:pt idx="2">
                  <c:v>2010</c:v>
                </c:pt>
              </c:numCache>
            </c:numRef>
          </c:cat>
          <c:val>
            <c:numRef>
              <c:f>Sheet1!$B$2:$D$2</c:f>
              <c:numCache>
                <c:formatCode>General</c:formatCode>
                <c:ptCount val="3"/>
                <c:pt idx="0">
                  <c:v>23.6</c:v>
                </c:pt>
                <c:pt idx="1">
                  <c:v>20.6</c:v>
                </c:pt>
                <c:pt idx="2">
                  <c:v>19.5</c:v>
                </c:pt>
              </c:numCache>
            </c:numRef>
          </c:val>
          <c:smooth val="0"/>
        </c:ser>
        <c:ser>
          <c:idx val="1"/>
          <c:order val="1"/>
          <c:tx>
            <c:strRef>
              <c:f>Sheet1!$A$3</c:f>
              <c:strCache>
                <c:ptCount val="1"/>
                <c:pt idx="0">
                  <c:v>Nonprofit private institutions </c:v>
                </c:pt>
              </c:strCache>
            </c:strRef>
          </c:tx>
          <c:marker>
            <c:symbol val="none"/>
          </c:marker>
          <c:cat>
            <c:numRef>
              <c:f>Sheet1!$B$1:$D$1</c:f>
              <c:numCache>
                <c:formatCode>General</c:formatCode>
                <c:ptCount val="3"/>
                <c:pt idx="0">
                  <c:v>2000</c:v>
                </c:pt>
                <c:pt idx="1">
                  <c:v>2005</c:v>
                </c:pt>
                <c:pt idx="2">
                  <c:v>2010</c:v>
                </c:pt>
              </c:numCache>
            </c:numRef>
          </c:cat>
          <c:val>
            <c:numRef>
              <c:f>Sheet1!$B$3:$D$3</c:f>
              <c:numCache>
                <c:formatCode>General</c:formatCode>
                <c:ptCount val="3"/>
                <c:pt idx="0">
                  <c:v>50.1</c:v>
                </c:pt>
                <c:pt idx="1">
                  <c:v>48.2</c:v>
                </c:pt>
                <c:pt idx="2">
                  <c:v>53.6</c:v>
                </c:pt>
              </c:numCache>
            </c:numRef>
          </c:val>
          <c:smooth val="0"/>
        </c:ser>
        <c:ser>
          <c:idx val="2"/>
          <c:order val="2"/>
          <c:tx>
            <c:strRef>
              <c:f>Sheet1!$A$4</c:f>
              <c:strCache>
                <c:ptCount val="1"/>
                <c:pt idx="0">
                  <c:v>For-profit institutions</c:v>
                </c:pt>
              </c:strCache>
            </c:strRef>
          </c:tx>
          <c:marker>
            <c:symbol val="none"/>
          </c:marker>
          <c:cat>
            <c:numRef>
              <c:f>Sheet1!$B$1:$D$1</c:f>
              <c:numCache>
                <c:formatCode>General</c:formatCode>
                <c:ptCount val="3"/>
                <c:pt idx="0">
                  <c:v>2000</c:v>
                </c:pt>
                <c:pt idx="1">
                  <c:v>2005</c:v>
                </c:pt>
                <c:pt idx="2">
                  <c:v>2010</c:v>
                </c:pt>
              </c:numCache>
            </c:numRef>
          </c:cat>
          <c:val>
            <c:numRef>
              <c:f>Sheet1!$B$4:$D$4</c:f>
              <c:numCache>
                <c:formatCode>General</c:formatCode>
                <c:ptCount val="3"/>
                <c:pt idx="0">
                  <c:v>59.1</c:v>
                </c:pt>
                <c:pt idx="1">
                  <c:v>57.7</c:v>
                </c:pt>
                <c:pt idx="2">
                  <c:v>62.8</c:v>
                </c:pt>
              </c:numCache>
            </c:numRef>
          </c:val>
          <c:smooth val="0"/>
        </c:ser>
        <c:dLbls>
          <c:showLegendKey val="0"/>
          <c:showVal val="0"/>
          <c:showCatName val="0"/>
          <c:showSerName val="0"/>
          <c:showPercent val="0"/>
          <c:showBubbleSize val="0"/>
        </c:dLbls>
        <c:marker val="1"/>
        <c:smooth val="0"/>
        <c:axId val="100517888"/>
        <c:axId val="176460288"/>
      </c:lineChart>
      <c:catAx>
        <c:axId val="100517888"/>
        <c:scaling>
          <c:orientation val="minMax"/>
        </c:scaling>
        <c:delete val="0"/>
        <c:axPos val="b"/>
        <c:numFmt formatCode="General" sourceLinked="1"/>
        <c:majorTickMark val="out"/>
        <c:minorTickMark val="none"/>
        <c:tickLblPos val="nextTo"/>
        <c:crossAx val="176460288"/>
        <c:crosses val="autoZero"/>
        <c:auto val="1"/>
        <c:lblAlgn val="ctr"/>
        <c:lblOffset val="100"/>
        <c:noMultiLvlLbl val="0"/>
      </c:catAx>
      <c:valAx>
        <c:axId val="176460288"/>
        <c:scaling>
          <c:orientation val="minMax"/>
        </c:scaling>
        <c:delete val="0"/>
        <c:axPos val="l"/>
        <c:majorGridlines/>
        <c:numFmt formatCode="General" sourceLinked="1"/>
        <c:majorTickMark val="out"/>
        <c:minorTickMark val="none"/>
        <c:tickLblPos val="nextTo"/>
        <c:crossAx val="1005178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dLbls>
            <c:showLegendKey val="0"/>
            <c:showVal val="1"/>
            <c:showCatName val="0"/>
            <c:showSerName val="0"/>
            <c:showPercent val="0"/>
            <c:showBubbleSize val="0"/>
            <c:showLeaderLines val="1"/>
          </c:dLbls>
          <c:cat>
            <c:strRef>
              <c:f>Sheet1!$A$47:$A$51</c:f>
              <c:strCache>
                <c:ptCount val="5"/>
                <c:pt idx="0">
                  <c:v>Completed at starting institution</c:v>
                </c:pt>
                <c:pt idx="1">
                  <c:v>Completed at different four-year institution</c:v>
                </c:pt>
                <c:pt idx="2">
                  <c:v>Completed at different two-year institution</c:v>
                </c:pt>
                <c:pt idx="3">
                  <c:v>Still enrolled </c:v>
                </c:pt>
                <c:pt idx="4">
                  <c:v>Not enrolled</c:v>
                </c:pt>
              </c:strCache>
            </c:strRef>
          </c:cat>
          <c:val>
            <c:numRef>
              <c:f>Sheet1!$B$47:$B$51</c:f>
              <c:numCache>
                <c:formatCode>General</c:formatCode>
                <c:ptCount val="5"/>
                <c:pt idx="0">
                  <c:v>26.1</c:v>
                </c:pt>
                <c:pt idx="1">
                  <c:v>9.8000000000000007</c:v>
                </c:pt>
                <c:pt idx="2">
                  <c:v>3.2</c:v>
                </c:pt>
                <c:pt idx="3">
                  <c:v>17.899999999999999</c:v>
                </c:pt>
                <c:pt idx="4">
                  <c:v>42.9</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bar"/>
        <c:grouping val="clustered"/>
        <c:varyColors val="0"/>
        <c:ser>
          <c:idx val="0"/>
          <c:order val="0"/>
          <c:invertIfNegative val="0"/>
          <c:cat>
            <c:strRef>
              <c:f>Sheet1!$A$66:$A$70</c:f>
              <c:strCache>
                <c:ptCount val="5"/>
                <c:pt idx="0">
                  <c:v>Four-year private non-profit</c:v>
                </c:pt>
                <c:pt idx="1">
                  <c:v>Four-year public </c:v>
                </c:pt>
                <c:pt idx="2">
                  <c:v>Overall</c:v>
                </c:pt>
                <c:pt idx="3">
                  <c:v>For-profit </c:v>
                </c:pt>
                <c:pt idx="4">
                  <c:v>Two-year public </c:v>
                </c:pt>
              </c:strCache>
            </c:strRef>
          </c:cat>
          <c:val>
            <c:numRef>
              <c:f>Sheet1!$B$66:$B$70</c:f>
              <c:numCache>
                <c:formatCode>0%</c:formatCode>
                <c:ptCount val="5"/>
                <c:pt idx="0">
                  <c:v>7.0000000000000007E-2</c:v>
                </c:pt>
                <c:pt idx="1">
                  <c:v>0.09</c:v>
                </c:pt>
                <c:pt idx="2">
                  <c:v>0.14000000000000001</c:v>
                </c:pt>
                <c:pt idx="3">
                  <c:v>0.19</c:v>
                </c:pt>
                <c:pt idx="4">
                  <c:v>0.21</c:v>
                </c:pt>
              </c:numCache>
            </c:numRef>
          </c:val>
        </c:ser>
        <c:dLbls>
          <c:showLegendKey val="0"/>
          <c:showVal val="0"/>
          <c:showCatName val="0"/>
          <c:showSerName val="0"/>
          <c:showPercent val="0"/>
          <c:showBubbleSize val="0"/>
        </c:dLbls>
        <c:gapWidth val="150"/>
        <c:axId val="100518400"/>
        <c:axId val="178407104"/>
      </c:barChart>
      <c:catAx>
        <c:axId val="100518400"/>
        <c:scaling>
          <c:orientation val="minMax"/>
        </c:scaling>
        <c:delete val="0"/>
        <c:axPos val="l"/>
        <c:majorTickMark val="out"/>
        <c:minorTickMark val="none"/>
        <c:tickLblPos val="nextTo"/>
        <c:crossAx val="178407104"/>
        <c:crosses val="autoZero"/>
        <c:auto val="1"/>
        <c:lblAlgn val="ctr"/>
        <c:lblOffset val="100"/>
        <c:noMultiLvlLbl val="0"/>
      </c:catAx>
      <c:valAx>
        <c:axId val="178407104"/>
        <c:scaling>
          <c:orientation val="minMax"/>
        </c:scaling>
        <c:delete val="0"/>
        <c:axPos val="b"/>
        <c:majorGridlines/>
        <c:numFmt formatCode="0%" sourceLinked="1"/>
        <c:majorTickMark val="out"/>
        <c:minorTickMark val="none"/>
        <c:tickLblPos val="nextTo"/>
        <c:crossAx val="1005184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9FC9-E799-4871-9F41-65426D8B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10</Pages>
  <Words>2804</Words>
  <Characters>17542</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Bellin, Judah</dc:creator>
  <cp:lastModifiedBy>Kimble, David</cp:lastModifiedBy>
  <cp:revision>337</cp:revision>
  <dcterms:created xsi:type="dcterms:W3CDTF">2015-09-18T14:24:00Z</dcterms:created>
  <dcterms:modified xsi:type="dcterms:W3CDTF">2015-09-18T23:39:00Z</dcterms:modified>
</cp:coreProperties>
</file>