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D6A" w:rsidRPr="00924BBD" w:rsidRDefault="00D42D6A" w:rsidP="00854AAC">
      <w:pPr>
        <w:jc w:val="center"/>
        <w:rPr>
          <w:rFonts w:asciiTheme="minorHAnsi" w:hAnsiTheme="minorHAnsi" w:cstheme="minorHAnsi"/>
          <w:sz w:val="23"/>
          <w:szCs w:val="23"/>
          <w:u w:val="single"/>
        </w:rPr>
      </w:pPr>
      <w:r w:rsidRPr="00924BBD">
        <w:rPr>
          <w:rFonts w:asciiTheme="minorHAnsi" w:hAnsiTheme="minorHAnsi" w:cstheme="minorHAnsi"/>
          <w:sz w:val="23"/>
          <w:szCs w:val="23"/>
          <w:u w:val="single"/>
        </w:rPr>
        <w:t xml:space="preserve">NACIQI Draft: </w:t>
      </w:r>
    </w:p>
    <w:p w:rsidR="00D42D6A" w:rsidRPr="00924BBD" w:rsidRDefault="00D42D6A" w:rsidP="00854AAC">
      <w:pPr>
        <w:jc w:val="center"/>
        <w:rPr>
          <w:rFonts w:asciiTheme="minorHAnsi" w:hAnsiTheme="minorHAnsi" w:cstheme="minorHAnsi"/>
          <w:sz w:val="23"/>
          <w:szCs w:val="23"/>
          <w:u w:val="single"/>
        </w:rPr>
      </w:pPr>
      <w:r w:rsidRPr="00924BBD">
        <w:rPr>
          <w:rFonts w:asciiTheme="minorHAnsi" w:hAnsiTheme="minorHAnsi" w:cstheme="minorHAnsi"/>
          <w:sz w:val="23"/>
          <w:szCs w:val="23"/>
          <w:u w:val="single"/>
        </w:rPr>
        <w:t xml:space="preserve">Higher Education Accreditation </w:t>
      </w:r>
      <w:r w:rsidR="001764B0" w:rsidRPr="00924BBD">
        <w:rPr>
          <w:rFonts w:asciiTheme="minorHAnsi" w:hAnsiTheme="minorHAnsi" w:cstheme="minorHAnsi"/>
          <w:sz w:val="23"/>
          <w:szCs w:val="23"/>
          <w:u w:val="single"/>
        </w:rPr>
        <w:t xml:space="preserve">Reauthorization </w:t>
      </w:r>
      <w:r w:rsidRPr="00924BBD">
        <w:rPr>
          <w:rFonts w:asciiTheme="minorHAnsi" w:hAnsiTheme="minorHAnsi" w:cstheme="minorHAnsi"/>
          <w:sz w:val="23"/>
          <w:szCs w:val="23"/>
          <w:u w:val="single"/>
        </w:rPr>
        <w:t xml:space="preserve">Policy </w:t>
      </w:r>
      <w:r w:rsidR="009B7868" w:rsidRPr="00924BBD">
        <w:rPr>
          <w:rFonts w:asciiTheme="minorHAnsi" w:hAnsiTheme="minorHAnsi" w:cstheme="minorHAnsi"/>
          <w:sz w:val="23"/>
          <w:szCs w:val="23"/>
          <w:u w:val="single"/>
        </w:rPr>
        <w:t>Recommendations</w:t>
      </w:r>
    </w:p>
    <w:p w:rsidR="00D42D6A" w:rsidRPr="00924BBD" w:rsidRDefault="003D0085" w:rsidP="001D4EBF">
      <w:pPr>
        <w:jc w:val="center"/>
        <w:rPr>
          <w:rFonts w:asciiTheme="minorHAnsi" w:hAnsiTheme="minorHAnsi" w:cstheme="minorHAnsi"/>
          <w:sz w:val="23"/>
          <w:szCs w:val="23"/>
        </w:rPr>
      </w:pPr>
      <w:r w:rsidRPr="00924BBD">
        <w:rPr>
          <w:rFonts w:asciiTheme="minorHAnsi" w:hAnsiTheme="minorHAnsi" w:cstheme="minorHAnsi"/>
          <w:sz w:val="23"/>
          <w:szCs w:val="23"/>
        </w:rPr>
        <w:t>January 1</w:t>
      </w:r>
      <w:r w:rsidR="002F2507" w:rsidRPr="00924BBD">
        <w:rPr>
          <w:rFonts w:asciiTheme="minorHAnsi" w:hAnsiTheme="minorHAnsi" w:cstheme="minorHAnsi"/>
          <w:sz w:val="23"/>
          <w:szCs w:val="23"/>
        </w:rPr>
        <w:t>7</w:t>
      </w:r>
      <w:r w:rsidRPr="00924BBD">
        <w:rPr>
          <w:rFonts w:asciiTheme="minorHAnsi" w:hAnsiTheme="minorHAnsi" w:cstheme="minorHAnsi"/>
          <w:sz w:val="23"/>
          <w:szCs w:val="23"/>
        </w:rPr>
        <w:t>, 2012</w:t>
      </w:r>
    </w:p>
    <w:p w:rsidR="00D42D6A" w:rsidRPr="00924BBD" w:rsidRDefault="00D42D6A" w:rsidP="001D4EBF">
      <w:pPr>
        <w:jc w:val="center"/>
        <w:rPr>
          <w:rFonts w:asciiTheme="minorHAnsi" w:hAnsiTheme="minorHAnsi" w:cstheme="minorHAnsi"/>
          <w:sz w:val="23"/>
          <w:szCs w:val="23"/>
        </w:rPr>
      </w:pPr>
    </w:p>
    <w:p w:rsidR="00D42D6A" w:rsidRPr="00924BBD" w:rsidRDefault="00D42D6A" w:rsidP="00DE1E6C">
      <w:pPr>
        <w:rPr>
          <w:rFonts w:asciiTheme="minorHAnsi" w:hAnsiTheme="minorHAnsi" w:cstheme="minorHAnsi"/>
          <w:sz w:val="23"/>
          <w:szCs w:val="23"/>
        </w:rPr>
      </w:pPr>
      <w:r w:rsidRPr="00924BBD">
        <w:rPr>
          <w:rFonts w:asciiTheme="minorHAnsi" w:hAnsiTheme="minorHAnsi" w:cstheme="minorHAnsi"/>
          <w:sz w:val="23"/>
          <w:szCs w:val="23"/>
        </w:rPr>
        <w:t xml:space="preserve">In September 2010, the National Advisory Committee on Institutional Quality and Integrity (NACIQI) received a broad charge to provide advice to the Secretary of Education on the reauthorization of the Higher Education Act.  </w:t>
      </w:r>
      <w:r w:rsidR="009B7868" w:rsidRPr="00924BBD">
        <w:rPr>
          <w:rFonts w:asciiTheme="minorHAnsi" w:hAnsiTheme="minorHAnsi" w:cstheme="minorHAnsi"/>
          <w:sz w:val="23"/>
          <w:szCs w:val="23"/>
        </w:rPr>
        <w:t xml:space="preserve">The </w:t>
      </w:r>
      <w:r w:rsidRPr="00924BBD">
        <w:rPr>
          <w:rFonts w:asciiTheme="minorHAnsi" w:hAnsiTheme="minorHAnsi" w:cstheme="minorHAnsi"/>
          <w:sz w:val="23"/>
          <w:szCs w:val="23"/>
        </w:rPr>
        <w:t>NACIQI responded to this charge by undertaking a</w:t>
      </w:r>
      <w:r w:rsidR="00075E1A" w:rsidRPr="00924BBD">
        <w:rPr>
          <w:rFonts w:asciiTheme="minorHAnsi" w:hAnsiTheme="minorHAnsi" w:cstheme="minorHAnsi"/>
          <w:sz w:val="23"/>
          <w:szCs w:val="23"/>
        </w:rPr>
        <w:t>n</w:t>
      </w:r>
      <w:r w:rsidRPr="00924BBD">
        <w:rPr>
          <w:rFonts w:asciiTheme="minorHAnsi" w:hAnsiTheme="minorHAnsi" w:cstheme="minorHAnsi"/>
          <w:sz w:val="23"/>
          <w:szCs w:val="23"/>
        </w:rPr>
        <w:t xml:space="preserve"> </w:t>
      </w:r>
      <w:r w:rsidR="00075E1A" w:rsidRPr="00924BBD">
        <w:rPr>
          <w:rFonts w:asciiTheme="minorHAnsi" w:hAnsiTheme="minorHAnsi" w:cstheme="minorHAnsi"/>
          <w:sz w:val="23"/>
          <w:szCs w:val="23"/>
        </w:rPr>
        <w:t xml:space="preserve">extended </w:t>
      </w:r>
      <w:r w:rsidRPr="00924BBD">
        <w:rPr>
          <w:rFonts w:asciiTheme="minorHAnsi" w:hAnsiTheme="minorHAnsi" w:cstheme="minorHAnsi"/>
          <w:sz w:val="23"/>
          <w:szCs w:val="23"/>
        </w:rPr>
        <w:t xml:space="preserve">dialogue about the current system of recognition, accreditation, and student aid eligibility. </w:t>
      </w:r>
    </w:p>
    <w:p w:rsidR="00D42D6A" w:rsidRPr="00924BBD" w:rsidRDefault="00D42D6A" w:rsidP="00DE1E6C">
      <w:pPr>
        <w:rPr>
          <w:rFonts w:asciiTheme="minorHAnsi" w:hAnsiTheme="minorHAnsi" w:cstheme="minorHAnsi"/>
          <w:sz w:val="23"/>
          <w:szCs w:val="23"/>
        </w:rPr>
      </w:pPr>
      <w:r w:rsidRPr="00924BBD">
        <w:rPr>
          <w:rFonts w:asciiTheme="minorHAnsi" w:hAnsiTheme="minorHAnsi" w:cstheme="minorHAnsi"/>
          <w:sz w:val="23"/>
          <w:szCs w:val="23"/>
        </w:rPr>
        <w:t xml:space="preserve">In framing the issues for this dialogue, </w:t>
      </w:r>
      <w:r w:rsidR="00CE352F" w:rsidRPr="00924BBD">
        <w:rPr>
          <w:rFonts w:asciiTheme="minorHAnsi" w:hAnsiTheme="minorHAnsi" w:cstheme="minorHAnsi"/>
          <w:sz w:val="23"/>
          <w:szCs w:val="23"/>
        </w:rPr>
        <w:t>we</w:t>
      </w:r>
      <w:r w:rsidRPr="00924BBD">
        <w:rPr>
          <w:rFonts w:asciiTheme="minorHAnsi" w:hAnsiTheme="minorHAnsi" w:cstheme="minorHAnsi"/>
          <w:sz w:val="23"/>
          <w:szCs w:val="23"/>
        </w:rPr>
        <w:t xml:space="preserve"> noted that the current system of recognition, accreditation, and student aid eligibility draws on a variety of players, definitions, and processes.  There are many</w:t>
      </w:r>
      <w:r w:rsidR="00C26601" w:rsidRPr="00924BBD">
        <w:rPr>
          <w:rFonts w:asciiTheme="minorHAnsi" w:hAnsiTheme="minorHAnsi" w:cstheme="minorHAnsi"/>
          <w:sz w:val="23"/>
          <w:szCs w:val="23"/>
        </w:rPr>
        <w:t xml:space="preserve"> actors--</w:t>
      </w:r>
      <w:r w:rsidRPr="00924BBD">
        <w:rPr>
          <w:rFonts w:asciiTheme="minorHAnsi" w:hAnsiTheme="minorHAnsi" w:cstheme="minorHAnsi"/>
          <w:sz w:val="23"/>
          <w:szCs w:val="23"/>
        </w:rPr>
        <w:t xml:space="preserve">federal, state, professional/trade/membership organizations, and the public—all of whom play varying roles and have varying interests.  There are commonalities and divergences among notions of “quality assurance,” “continuous improvement,” and “compliance.”   There is confusion and incomplete overlap about compliance with regulation versus accreditation via peer review.  And there is tension between notions of gate-keeping for student aid eligibility and notions of accreditation as a broader quality improvement and assurance process.  </w:t>
      </w:r>
      <w:r w:rsidR="00DC5BE3" w:rsidRPr="00924BBD">
        <w:rPr>
          <w:rFonts w:asciiTheme="minorHAnsi" w:hAnsiTheme="minorHAnsi" w:cstheme="minorHAnsi"/>
          <w:sz w:val="23"/>
          <w:szCs w:val="23"/>
        </w:rPr>
        <w:t>This complex system has been admirable in many ways in addressing the needs of quality assurance in a dynamic and diverse environment.  However, new challenges and the multiplicity of actors and issues pose a number of tensions, points of confusion, and areas of overlap.</w:t>
      </w:r>
    </w:p>
    <w:p w:rsidR="006D0A5B" w:rsidRPr="00924BBD" w:rsidRDefault="00CE352F" w:rsidP="00FA275C">
      <w:pPr>
        <w:rPr>
          <w:rFonts w:asciiTheme="minorHAnsi" w:hAnsiTheme="minorHAnsi" w:cstheme="minorHAnsi"/>
          <w:sz w:val="23"/>
          <w:szCs w:val="23"/>
        </w:rPr>
      </w:pPr>
      <w:r w:rsidRPr="00924BBD">
        <w:rPr>
          <w:rFonts w:asciiTheme="minorHAnsi" w:hAnsiTheme="minorHAnsi" w:cstheme="minorHAnsi"/>
          <w:sz w:val="23"/>
          <w:szCs w:val="23"/>
        </w:rPr>
        <w:t>We</w:t>
      </w:r>
      <w:r w:rsidR="00D42D6A" w:rsidRPr="00924BBD">
        <w:rPr>
          <w:rFonts w:asciiTheme="minorHAnsi" w:hAnsiTheme="minorHAnsi" w:cstheme="minorHAnsi"/>
          <w:sz w:val="23"/>
          <w:szCs w:val="23"/>
        </w:rPr>
        <w:t xml:space="preserve"> considered a diverse range of topics in </w:t>
      </w:r>
      <w:r w:rsidR="009B6602" w:rsidRPr="00924BBD">
        <w:rPr>
          <w:rFonts w:asciiTheme="minorHAnsi" w:hAnsiTheme="minorHAnsi" w:cstheme="minorHAnsi"/>
          <w:sz w:val="23"/>
          <w:szCs w:val="23"/>
        </w:rPr>
        <w:t xml:space="preserve">our </w:t>
      </w:r>
      <w:r w:rsidR="00D42D6A" w:rsidRPr="00924BBD">
        <w:rPr>
          <w:rFonts w:asciiTheme="minorHAnsi" w:hAnsiTheme="minorHAnsi" w:cstheme="minorHAnsi"/>
          <w:sz w:val="23"/>
          <w:szCs w:val="23"/>
        </w:rPr>
        <w:t>deliberations and benefited from comments from federal and state actors, from accreditors, from beneficiaries of quality in higher education, and from accredited institutions, including perspectives from experts in education, policy, business, government, and beyond.  </w:t>
      </w:r>
      <w:r w:rsidR="009B7868" w:rsidRPr="00924BBD">
        <w:rPr>
          <w:rFonts w:asciiTheme="minorHAnsi" w:hAnsiTheme="minorHAnsi" w:cstheme="minorHAnsi"/>
          <w:sz w:val="23"/>
          <w:szCs w:val="23"/>
        </w:rPr>
        <w:t>We</w:t>
      </w:r>
      <w:r w:rsidR="00D42D6A" w:rsidRPr="00924BBD">
        <w:rPr>
          <w:rFonts w:asciiTheme="minorHAnsi" w:hAnsiTheme="minorHAnsi" w:cstheme="minorHAnsi"/>
          <w:sz w:val="23"/>
          <w:szCs w:val="23"/>
        </w:rPr>
        <w:t xml:space="preserve"> agreed to focus on three main areas – the triad of actors in educational quality assurance; the scope, alignment, and accountability of accreditation activity; and regulatory burden and data needs.  Following due consideration – including public hearings, written comment, and extensive discussion -- this document provides </w:t>
      </w:r>
      <w:r w:rsidR="009B7868" w:rsidRPr="00924BBD">
        <w:rPr>
          <w:rFonts w:asciiTheme="minorHAnsi" w:hAnsiTheme="minorHAnsi" w:cstheme="minorHAnsi"/>
          <w:sz w:val="23"/>
          <w:szCs w:val="23"/>
        </w:rPr>
        <w:t>our</w:t>
      </w:r>
      <w:r w:rsidR="00D42D6A" w:rsidRPr="00924BBD">
        <w:rPr>
          <w:rFonts w:asciiTheme="minorHAnsi" w:hAnsiTheme="minorHAnsi" w:cstheme="minorHAnsi"/>
          <w:sz w:val="23"/>
          <w:szCs w:val="23"/>
        </w:rPr>
        <w:t xml:space="preserve"> </w:t>
      </w:r>
      <w:r w:rsidR="00576E8E" w:rsidRPr="00924BBD">
        <w:rPr>
          <w:rFonts w:asciiTheme="minorHAnsi" w:hAnsiTheme="minorHAnsi" w:cstheme="minorHAnsi"/>
          <w:sz w:val="23"/>
          <w:szCs w:val="23"/>
        </w:rPr>
        <w:t xml:space="preserve">recommendations in </w:t>
      </w:r>
      <w:r w:rsidR="00D42D6A" w:rsidRPr="00924BBD">
        <w:rPr>
          <w:rFonts w:asciiTheme="minorHAnsi" w:hAnsiTheme="minorHAnsi" w:cstheme="minorHAnsi"/>
          <w:sz w:val="23"/>
          <w:szCs w:val="23"/>
        </w:rPr>
        <w:t xml:space="preserve">response to the Secretary’s invitation.   </w:t>
      </w:r>
    </w:p>
    <w:p w:rsidR="00D42D6A" w:rsidRPr="00924BBD" w:rsidRDefault="00D42D6A" w:rsidP="00FA275C">
      <w:pPr>
        <w:rPr>
          <w:rFonts w:asciiTheme="minorHAnsi" w:hAnsiTheme="minorHAnsi" w:cstheme="minorHAnsi"/>
          <w:sz w:val="23"/>
          <w:szCs w:val="23"/>
          <w:u w:val="single"/>
        </w:rPr>
      </w:pPr>
      <w:r w:rsidRPr="00924BBD">
        <w:rPr>
          <w:rFonts w:asciiTheme="minorHAnsi" w:hAnsiTheme="minorHAnsi" w:cstheme="minorHAnsi"/>
          <w:sz w:val="23"/>
          <w:szCs w:val="23"/>
          <w:u w:val="single"/>
        </w:rPr>
        <w:t>The linkage of accreditation and eligibility for Title IV funds</w:t>
      </w:r>
    </w:p>
    <w:p w:rsidR="00D42D6A" w:rsidRPr="00924BBD" w:rsidRDefault="00D42D6A" w:rsidP="00593B0E">
      <w:pPr>
        <w:rPr>
          <w:rFonts w:asciiTheme="minorHAnsi" w:hAnsiTheme="minorHAnsi" w:cstheme="minorHAnsi"/>
          <w:sz w:val="23"/>
          <w:szCs w:val="23"/>
        </w:rPr>
      </w:pPr>
      <w:r w:rsidRPr="00924BBD">
        <w:rPr>
          <w:rFonts w:asciiTheme="minorHAnsi" w:hAnsiTheme="minorHAnsi" w:cstheme="minorHAnsi"/>
          <w:sz w:val="23"/>
          <w:szCs w:val="23"/>
        </w:rPr>
        <w:t>Common across the areas selected for consideration is the tension between notions of gate-keeping for institutional eligibility for student aid, and notions of accreditation as a broader quality improvement and assurance process.  With a substantial federal investment in education (over $175 billion available in Title IV funding for student aid in 2011), the federal process for determining aid eligibility has, to date, included institu</w:t>
      </w:r>
      <w:r w:rsidR="007E36F5" w:rsidRPr="00924BBD">
        <w:rPr>
          <w:rFonts w:asciiTheme="minorHAnsi" w:hAnsiTheme="minorHAnsi" w:cstheme="minorHAnsi"/>
          <w:sz w:val="23"/>
          <w:szCs w:val="23"/>
        </w:rPr>
        <w:t xml:space="preserve">tional or program accreditation </w:t>
      </w:r>
      <w:r w:rsidRPr="00924BBD">
        <w:rPr>
          <w:rFonts w:asciiTheme="minorHAnsi" w:hAnsiTheme="minorHAnsi" w:cstheme="minorHAnsi"/>
          <w:sz w:val="23"/>
          <w:szCs w:val="23"/>
        </w:rPr>
        <w:t xml:space="preserve">as its assurance of the quality of the education endeavors to which Title IV funds might be directed. </w:t>
      </w:r>
    </w:p>
    <w:p w:rsidR="009B7868" w:rsidRPr="00924BBD" w:rsidRDefault="00D42D6A" w:rsidP="009B7868">
      <w:pPr>
        <w:rPr>
          <w:rFonts w:asciiTheme="minorHAnsi" w:hAnsiTheme="minorHAnsi" w:cstheme="minorHAnsi"/>
          <w:sz w:val="23"/>
          <w:szCs w:val="23"/>
        </w:rPr>
      </w:pPr>
      <w:r w:rsidRPr="00924BBD">
        <w:rPr>
          <w:rFonts w:asciiTheme="minorHAnsi" w:hAnsiTheme="minorHAnsi" w:cstheme="minorHAnsi"/>
          <w:sz w:val="23"/>
          <w:szCs w:val="23"/>
        </w:rPr>
        <w:lastRenderedPageBreak/>
        <w:t xml:space="preserve">A critical issue concerns the extent to which accreditation serves, and should continue to serve, a gatekeeping function for the determination of eligibility of federal Title IV funds.  Deliberations on this issue </w:t>
      </w:r>
      <w:r w:rsidR="009B7868" w:rsidRPr="00924BBD">
        <w:rPr>
          <w:rFonts w:asciiTheme="minorHAnsi" w:hAnsiTheme="minorHAnsi" w:cstheme="minorHAnsi"/>
          <w:sz w:val="23"/>
          <w:szCs w:val="23"/>
        </w:rPr>
        <w:t xml:space="preserve">covered a range of views, and concluded with the recommendation to </w:t>
      </w:r>
      <w:r w:rsidR="009B7868" w:rsidRPr="00924BBD">
        <w:rPr>
          <w:rFonts w:asciiTheme="minorHAnsi" w:hAnsiTheme="minorHAnsi" w:cstheme="minorHAnsi"/>
          <w:i/>
          <w:sz w:val="23"/>
          <w:szCs w:val="23"/>
          <w:u w:val="single"/>
        </w:rPr>
        <w:t xml:space="preserve">retain </w:t>
      </w:r>
      <w:r w:rsidRPr="00924BBD">
        <w:rPr>
          <w:rFonts w:asciiTheme="minorHAnsi" w:hAnsiTheme="minorHAnsi" w:cstheme="minorHAnsi"/>
          <w:i/>
          <w:sz w:val="23"/>
          <w:szCs w:val="23"/>
          <w:u w:val="single"/>
        </w:rPr>
        <w:t>accreditation in the institutional eligibility process</w:t>
      </w:r>
      <w:r w:rsidR="009B7868" w:rsidRPr="00924BBD">
        <w:rPr>
          <w:rFonts w:asciiTheme="minorHAnsi" w:hAnsiTheme="minorHAnsi" w:cstheme="minorHAnsi"/>
          <w:i/>
          <w:sz w:val="23"/>
          <w:szCs w:val="23"/>
        </w:rPr>
        <w:t xml:space="preserve">.  </w:t>
      </w:r>
      <w:r w:rsidR="009B7868" w:rsidRPr="00924BBD">
        <w:rPr>
          <w:rFonts w:asciiTheme="minorHAnsi" w:hAnsiTheme="minorHAnsi" w:cstheme="minorHAnsi"/>
          <w:sz w:val="23"/>
          <w:szCs w:val="23"/>
        </w:rPr>
        <w:t xml:space="preserve"> </w:t>
      </w:r>
      <w:r w:rsidR="009B7868" w:rsidRPr="00924BBD">
        <w:rPr>
          <w:rFonts w:asciiTheme="minorHAnsi" w:hAnsiTheme="minorHAnsi" w:cstheme="minorHAnsi"/>
          <w:b/>
          <w:i/>
          <w:color w:val="1F497D" w:themeColor="text2"/>
          <w:sz w:val="23"/>
          <w:szCs w:val="23"/>
        </w:rPr>
        <w:t>(</w:t>
      </w:r>
      <w:proofErr w:type="gramStart"/>
      <w:r w:rsidR="00CE352F" w:rsidRPr="00924BBD">
        <w:rPr>
          <w:rFonts w:asciiTheme="minorHAnsi" w:hAnsiTheme="minorHAnsi" w:cstheme="minorHAnsi"/>
          <w:b/>
          <w:i/>
          <w:color w:val="1F497D" w:themeColor="text2"/>
          <w:sz w:val="23"/>
          <w:szCs w:val="23"/>
        </w:rPr>
        <w:t>formerly</w:t>
      </w:r>
      <w:proofErr w:type="gramEnd"/>
      <w:r w:rsidR="00CE352F" w:rsidRPr="00924BBD">
        <w:rPr>
          <w:rFonts w:asciiTheme="minorHAnsi" w:hAnsiTheme="minorHAnsi" w:cstheme="minorHAnsi"/>
          <w:b/>
          <w:i/>
          <w:color w:val="1F497D" w:themeColor="text2"/>
          <w:sz w:val="23"/>
          <w:szCs w:val="23"/>
        </w:rPr>
        <w:t xml:space="preserve"> “option A”--</w:t>
      </w:r>
      <w:r w:rsidR="009B7868" w:rsidRPr="00924BBD">
        <w:rPr>
          <w:rFonts w:asciiTheme="minorHAnsi" w:hAnsiTheme="minorHAnsi" w:cstheme="minorHAnsi"/>
          <w:b/>
          <w:i/>
          <w:color w:val="1F497D" w:themeColor="text2"/>
          <w:sz w:val="23"/>
          <w:szCs w:val="23"/>
        </w:rPr>
        <w:t xml:space="preserve">reference </w:t>
      </w:r>
      <w:r w:rsidR="007959E9" w:rsidRPr="00924BBD">
        <w:rPr>
          <w:rFonts w:asciiTheme="minorHAnsi" w:hAnsiTheme="minorHAnsi" w:cstheme="minorHAnsi"/>
          <w:b/>
          <w:i/>
          <w:color w:val="1F497D" w:themeColor="text2"/>
          <w:sz w:val="23"/>
          <w:szCs w:val="23"/>
        </w:rPr>
        <w:t>10/13</w:t>
      </w:r>
      <w:r w:rsidR="009B7868" w:rsidRPr="00924BBD">
        <w:rPr>
          <w:rFonts w:asciiTheme="minorHAnsi" w:hAnsiTheme="minorHAnsi" w:cstheme="minorHAnsi"/>
          <w:b/>
          <w:i/>
          <w:color w:val="1F497D" w:themeColor="text2"/>
          <w:sz w:val="23"/>
          <w:szCs w:val="23"/>
        </w:rPr>
        <w:t xml:space="preserve">, or </w:t>
      </w:r>
      <w:r w:rsidR="007959E9" w:rsidRPr="00924BBD">
        <w:rPr>
          <w:rFonts w:asciiTheme="minorHAnsi" w:hAnsiTheme="minorHAnsi" w:cstheme="minorHAnsi"/>
          <w:b/>
          <w:i/>
          <w:color w:val="1F497D" w:themeColor="text2"/>
          <w:sz w:val="23"/>
          <w:szCs w:val="23"/>
        </w:rPr>
        <w:t>77</w:t>
      </w:r>
      <w:r w:rsidR="009B7868" w:rsidRPr="00924BBD">
        <w:rPr>
          <w:rFonts w:asciiTheme="minorHAnsi" w:hAnsiTheme="minorHAnsi" w:cstheme="minorHAnsi"/>
          <w:b/>
          <w:i/>
          <w:color w:val="1F497D" w:themeColor="text2"/>
          <w:sz w:val="23"/>
          <w:szCs w:val="23"/>
        </w:rPr>
        <w:t>%, in straw poll)</w:t>
      </w:r>
    </w:p>
    <w:p w:rsidR="000301C9" w:rsidRPr="00924BBD" w:rsidRDefault="009B7868" w:rsidP="00C349D2">
      <w:pPr>
        <w:rPr>
          <w:rFonts w:asciiTheme="minorHAnsi" w:hAnsiTheme="minorHAnsi" w:cstheme="minorHAnsi"/>
          <w:sz w:val="23"/>
          <w:szCs w:val="23"/>
        </w:rPr>
      </w:pPr>
      <w:r w:rsidRPr="00924BBD">
        <w:rPr>
          <w:rFonts w:asciiTheme="minorHAnsi" w:hAnsiTheme="minorHAnsi" w:cstheme="minorHAnsi"/>
          <w:sz w:val="23"/>
          <w:szCs w:val="23"/>
        </w:rPr>
        <w:t>In arriving at this recommendation, we considered</w:t>
      </w:r>
      <w:r w:rsidR="00D42D6A" w:rsidRPr="00924BBD">
        <w:rPr>
          <w:rFonts w:asciiTheme="minorHAnsi" w:hAnsiTheme="minorHAnsi" w:cstheme="minorHAnsi"/>
          <w:sz w:val="23"/>
          <w:szCs w:val="23"/>
        </w:rPr>
        <w:t xml:space="preserve"> the determination of educational quality, the role of the federal government in educational determination, and matters of accountability</w:t>
      </w:r>
      <w:r w:rsidR="00E014D5" w:rsidRPr="00924BBD">
        <w:rPr>
          <w:rFonts w:asciiTheme="minorHAnsi" w:hAnsiTheme="minorHAnsi" w:cstheme="minorHAnsi"/>
          <w:sz w:val="23"/>
          <w:szCs w:val="23"/>
        </w:rPr>
        <w:t>:</w:t>
      </w:r>
      <w:r w:rsidR="00C349D2" w:rsidRPr="00924BBD">
        <w:rPr>
          <w:rFonts w:asciiTheme="minorHAnsi" w:hAnsiTheme="minorHAnsi" w:cstheme="minorHAnsi"/>
          <w:sz w:val="23"/>
          <w:szCs w:val="23"/>
        </w:rPr>
        <w:t xml:space="preserve">  </w:t>
      </w:r>
    </w:p>
    <w:p w:rsidR="00C349D2" w:rsidRPr="00924BBD" w:rsidRDefault="00C349D2" w:rsidP="00C349D2">
      <w:pPr>
        <w:rPr>
          <w:rFonts w:asciiTheme="minorHAnsi" w:hAnsiTheme="minorHAnsi" w:cstheme="minorHAnsi"/>
          <w:sz w:val="23"/>
          <w:szCs w:val="23"/>
        </w:rPr>
      </w:pPr>
      <w:r w:rsidRPr="00924BBD">
        <w:rPr>
          <w:rFonts w:asciiTheme="minorHAnsi" w:hAnsiTheme="minorHAnsi" w:cstheme="minorHAnsi"/>
          <w:sz w:val="23"/>
          <w:szCs w:val="23"/>
        </w:rPr>
        <w:t>T</w:t>
      </w:r>
      <w:r w:rsidR="00D42D6A" w:rsidRPr="00924BBD">
        <w:rPr>
          <w:rFonts w:asciiTheme="minorHAnsi" w:hAnsiTheme="minorHAnsi" w:cstheme="minorHAnsi"/>
          <w:sz w:val="23"/>
          <w:szCs w:val="23"/>
        </w:rPr>
        <w:t xml:space="preserve">he accreditation system serves as a critical element in providing information about academic quality to satisfy the federal interest in assuring the appropriate use of federal funds.  While this service may not have been envisioned at the origin of accrediting agencies, </w:t>
      </w:r>
      <w:r w:rsidR="00BB4D1C" w:rsidRPr="00924BBD">
        <w:rPr>
          <w:rFonts w:asciiTheme="minorHAnsi" w:hAnsiTheme="minorHAnsi" w:cstheme="minorHAnsi"/>
          <w:sz w:val="23"/>
          <w:szCs w:val="23"/>
        </w:rPr>
        <w:t xml:space="preserve">accreditation </w:t>
      </w:r>
      <w:r w:rsidR="00D42D6A" w:rsidRPr="00924BBD">
        <w:rPr>
          <w:rFonts w:asciiTheme="minorHAnsi" w:hAnsiTheme="minorHAnsi" w:cstheme="minorHAnsi"/>
          <w:sz w:val="23"/>
          <w:szCs w:val="23"/>
        </w:rPr>
        <w:t xml:space="preserve">nonetheless provides a valuable function in this process, and is uniquely appropriate for that function.  </w:t>
      </w:r>
      <w:r w:rsidRPr="00924BBD">
        <w:rPr>
          <w:rFonts w:asciiTheme="minorHAnsi" w:hAnsiTheme="minorHAnsi" w:cstheme="minorHAnsi"/>
          <w:sz w:val="23"/>
          <w:szCs w:val="23"/>
        </w:rPr>
        <w:t xml:space="preserve">Accreditors are the most experienced source of information about academic quality and should continue to </w:t>
      </w:r>
      <w:r w:rsidR="00B55929" w:rsidRPr="00924BBD">
        <w:rPr>
          <w:rFonts w:asciiTheme="minorHAnsi" w:hAnsiTheme="minorHAnsi" w:cstheme="minorHAnsi"/>
          <w:sz w:val="23"/>
          <w:szCs w:val="23"/>
        </w:rPr>
        <w:t>establish and assure consistency with academic quality standards in</w:t>
      </w:r>
      <w:r w:rsidRPr="00924BBD">
        <w:rPr>
          <w:rFonts w:asciiTheme="minorHAnsi" w:hAnsiTheme="minorHAnsi" w:cstheme="minorHAnsi"/>
          <w:sz w:val="23"/>
          <w:szCs w:val="23"/>
        </w:rPr>
        <w:t xml:space="preserve"> the determination of eligibility.  </w:t>
      </w:r>
      <w:r w:rsidR="00BB4D1C" w:rsidRPr="00924BBD">
        <w:rPr>
          <w:rFonts w:asciiTheme="minorHAnsi" w:hAnsiTheme="minorHAnsi" w:cstheme="minorHAnsi"/>
          <w:sz w:val="23"/>
          <w:szCs w:val="23"/>
        </w:rPr>
        <w:t>C</w:t>
      </w:r>
      <w:r w:rsidRPr="00924BBD">
        <w:rPr>
          <w:rFonts w:asciiTheme="minorHAnsi" w:hAnsiTheme="minorHAnsi" w:cstheme="minorHAnsi"/>
          <w:sz w:val="23"/>
          <w:szCs w:val="23"/>
        </w:rPr>
        <w:t xml:space="preserve">ompliance with academic regulations, standards, and expectations requires the involvement of academic specialists, who apply broad general understandings to local conditions.  As a corollary, it is noted that accreditation attracts and deploys extraordinary academic talent in the service of quality assurance, and does so in a cost-effective manner.   </w:t>
      </w:r>
    </w:p>
    <w:p w:rsidR="00C349D2" w:rsidRPr="00924BBD" w:rsidRDefault="00D42D6A" w:rsidP="00C349D2">
      <w:pPr>
        <w:rPr>
          <w:rFonts w:asciiTheme="minorHAnsi" w:hAnsiTheme="minorHAnsi" w:cstheme="minorHAnsi"/>
          <w:sz w:val="23"/>
          <w:szCs w:val="23"/>
        </w:rPr>
      </w:pPr>
      <w:r w:rsidRPr="00924BBD">
        <w:rPr>
          <w:rFonts w:asciiTheme="minorHAnsi" w:hAnsiTheme="minorHAnsi" w:cstheme="minorHAnsi"/>
          <w:sz w:val="23"/>
          <w:szCs w:val="23"/>
        </w:rPr>
        <w:t xml:space="preserve">There is value in sustaining the determination of quality as a non-governmental function.  In this, </w:t>
      </w:r>
      <w:r w:rsidR="00043CC8" w:rsidRPr="00924BBD">
        <w:rPr>
          <w:rFonts w:asciiTheme="minorHAnsi" w:hAnsiTheme="minorHAnsi" w:cstheme="minorHAnsi"/>
          <w:sz w:val="23"/>
          <w:szCs w:val="23"/>
        </w:rPr>
        <w:t>we note</w:t>
      </w:r>
      <w:r w:rsidRPr="00924BBD">
        <w:rPr>
          <w:rFonts w:asciiTheme="minorHAnsi" w:hAnsiTheme="minorHAnsi" w:cstheme="minorHAnsi"/>
          <w:sz w:val="23"/>
          <w:szCs w:val="23"/>
        </w:rPr>
        <w:t xml:space="preserve"> that </w:t>
      </w:r>
      <w:r w:rsidR="00DC5BE3" w:rsidRPr="00924BBD">
        <w:rPr>
          <w:rFonts w:asciiTheme="minorHAnsi" w:hAnsiTheme="minorHAnsi" w:cstheme="minorHAnsi"/>
          <w:sz w:val="23"/>
          <w:szCs w:val="23"/>
        </w:rPr>
        <w:t xml:space="preserve">a </w:t>
      </w:r>
      <w:r w:rsidRPr="00924BBD">
        <w:rPr>
          <w:rFonts w:asciiTheme="minorHAnsi" w:hAnsiTheme="minorHAnsi" w:cstheme="minorHAnsi"/>
          <w:sz w:val="23"/>
          <w:szCs w:val="23"/>
        </w:rPr>
        <w:t xml:space="preserve">strength of American higher education has been its freedom from federal determination of institutional quality and self-improvement processes.   The responsibility for evaluating how well an institution is accomplishing its educational work can and should rest exclusively with the institutions and/or the accrediting bodies.  With accreditation being a system of self-regulation, the involvement of member institutions in the process of establishing the standards </w:t>
      </w:r>
      <w:r w:rsidR="00C349D2" w:rsidRPr="00924BBD">
        <w:rPr>
          <w:rFonts w:asciiTheme="minorHAnsi" w:hAnsiTheme="minorHAnsi" w:cstheme="minorHAnsi"/>
          <w:sz w:val="23"/>
          <w:szCs w:val="23"/>
        </w:rPr>
        <w:t>and then applying them in volunteer peer review</w:t>
      </w:r>
      <w:r w:rsidRPr="00924BBD">
        <w:rPr>
          <w:rFonts w:asciiTheme="minorHAnsi" w:hAnsiTheme="minorHAnsi" w:cstheme="minorHAnsi"/>
          <w:sz w:val="23"/>
          <w:szCs w:val="23"/>
        </w:rPr>
        <w:t xml:space="preserve">, accreditors also promote understanding of the expectations and buy-in for the standards and policies. </w:t>
      </w:r>
      <w:r w:rsidR="00C349D2" w:rsidRPr="00924BBD">
        <w:rPr>
          <w:rFonts w:asciiTheme="minorHAnsi" w:hAnsiTheme="minorHAnsi" w:cstheme="minorHAnsi"/>
          <w:sz w:val="23"/>
          <w:szCs w:val="23"/>
        </w:rPr>
        <w:t xml:space="preserve"> </w:t>
      </w:r>
    </w:p>
    <w:p w:rsidR="00D42D6A" w:rsidRPr="00924BBD" w:rsidRDefault="00D42D6A" w:rsidP="00C349D2">
      <w:pPr>
        <w:rPr>
          <w:rFonts w:asciiTheme="minorHAnsi" w:hAnsiTheme="minorHAnsi" w:cstheme="minorHAnsi"/>
          <w:sz w:val="23"/>
          <w:szCs w:val="23"/>
        </w:rPr>
      </w:pPr>
      <w:r w:rsidRPr="00924BBD">
        <w:rPr>
          <w:rFonts w:asciiTheme="minorHAnsi" w:hAnsiTheme="minorHAnsi" w:cstheme="minorHAnsi"/>
          <w:sz w:val="23"/>
          <w:szCs w:val="23"/>
        </w:rPr>
        <w:t xml:space="preserve">While </w:t>
      </w:r>
      <w:r w:rsidR="00C349D2" w:rsidRPr="00924BBD">
        <w:rPr>
          <w:rFonts w:asciiTheme="minorHAnsi" w:hAnsiTheme="minorHAnsi" w:cstheme="minorHAnsi"/>
          <w:sz w:val="23"/>
          <w:szCs w:val="23"/>
        </w:rPr>
        <w:t>some</w:t>
      </w:r>
      <w:r w:rsidRPr="00924BBD">
        <w:rPr>
          <w:rFonts w:asciiTheme="minorHAnsi" w:hAnsiTheme="minorHAnsi" w:cstheme="minorHAnsi"/>
          <w:sz w:val="23"/>
          <w:szCs w:val="23"/>
        </w:rPr>
        <w:t xml:space="preserve"> may </w:t>
      </w:r>
      <w:r w:rsidR="00A97D94" w:rsidRPr="00924BBD">
        <w:rPr>
          <w:rFonts w:asciiTheme="minorHAnsi" w:hAnsiTheme="minorHAnsi" w:cstheme="minorHAnsi"/>
          <w:sz w:val="23"/>
          <w:szCs w:val="23"/>
        </w:rPr>
        <w:t>consider</w:t>
      </w:r>
      <w:r w:rsidRPr="00924BBD">
        <w:rPr>
          <w:rFonts w:asciiTheme="minorHAnsi" w:hAnsiTheme="minorHAnsi" w:cstheme="minorHAnsi"/>
          <w:sz w:val="23"/>
          <w:szCs w:val="23"/>
        </w:rPr>
        <w:t xml:space="preserve"> that accreditation has not been sufficiently publicly accountable, it </w:t>
      </w:r>
      <w:r w:rsidR="00A97D94" w:rsidRPr="00924BBD">
        <w:rPr>
          <w:rFonts w:asciiTheme="minorHAnsi" w:hAnsiTheme="minorHAnsi" w:cstheme="minorHAnsi"/>
          <w:sz w:val="23"/>
          <w:szCs w:val="23"/>
        </w:rPr>
        <w:t>is not</w:t>
      </w:r>
      <w:r w:rsidR="000301C9" w:rsidRPr="00924BBD">
        <w:rPr>
          <w:rFonts w:asciiTheme="minorHAnsi" w:hAnsiTheme="minorHAnsi" w:cstheme="minorHAnsi"/>
          <w:sz w:val="23"/>
          <w:szCs w:val="23"/>
        </w:rPr>
        <w:t>able</w:t>
      </w:r>
      <w:r w:rsidRPr="00924BBD">
        <w:rPr>
          <w:rFonts w:asciiTheme="minorHAnsi" w:hAnsiTheme="minorHAnsi" w:cstheme="minorHAnsi"/>
          <w:sz w:val="23"/>
          <w:szCs w:val="23"/>
        </w:rPr>
        <w:t xml:space="preserve"> that, as a function of its engagement in the federal aid eligibility process, the accreditation system </w:t>
      </w:r>
      <w:r w:rsidR="00C26601" w:rsidRPr="00924BBD">
        <w:rPr>
          <w:rFonts w:asciiTheme="minorHAnsi" w:hAnsiTheme="minorHAnsi" w:cstheme="minorHAnsi"/>
          <w:sz w:val="23"/>
          <w:szCs w:val="23"/>
        </w:rPr>
        <w:t xml:space="preserve">has moved </w:t>
      </w:r>
      <w:r w:rsidRPr="00924BBD">
        <w:rPr>
          <w:rFonts w:asciiTheme="minorHAnsi" w:hAnsiTheme="minorHAnsi" w:cstheme="minorHAnsi"/>
          <w:sz w:val="23"/>
          <w:szCs w:val="23"/>
        </w:rPr>
        <w:t xml:space="preserve">in the direction of </w:t>
      </w:r>
      <w:r w:rsidR="002F351E" w:rsidRPr="00924BBD">
        <w:rPr>
          <w:rFonts w:asciiTheme="minorHAnsi" w:hAnsiTheme="minorHAnsi" w:cstheme="minorHAnsi"/>
          <w:sz w:val="23"/>
          <w:szCs w:val="23"/>
        </w:rPr>
        <w:t xml:space="preserve">greater </w:t>
      </w:r>
      <w:r w:rsidRPr="00924BBD">
        <w:rPr>
          <w:rFonts w:asciiTheme="minorHAnsi" w:hAnsiTheme="minorHAnsi" w:cstheme="minorHAnsi"/>
          <w:sz w:val="23"/>
          <w:szCs w:val="23"/>
        </w:rPr>
        <w:t>accountability</w:t>
      </w:r>
      <w:r w:rsidR="00C349D2" w:rsidRPr="00924BBD">
        <w:rPr>
          <w:rFonts w:asciiTheme="minorHAnsi" w:hAnsiTheme="minorHAnsi" w:cstheme="minorHAnsi"/>
          <w:sz w:val="23"/>
          <w:szCs w:val="23"/>
        </w:rPr>
        <w:t xml:space="preserve"> by including, among other provisions, </w:t>
      </w:r>
      <w:r w:rsidRPr="00924BBD">
        <w:rPr>
          <w:rFonts w:asciiTheme="minorHAnsi" w:hAnsiTheme="minorHAnsi" w:cstheme="minorHAnsi"/>
          <w:sz w:val="23"/>
          <w:szCs w:val="23"/>
        </w:rPr>
        <w:t>requirement</w:t>
      </w:r>
      <w:r w:rsidR="002F351E" w:rsidRPr="00924BBD">
        <w:rPr>
          <w:rFonts w:asciiTheme="minorHAnsi" w:hAnsiTheme="minorHAnsi" w:cstheme="minorHAnsi"/>
          <w:sz w:val="23"/>
          <w:szCs w:val="23"/>
        </w:rPr>
        <w:t>s</w:t>
      </w:r>
      <w:r w:rsidRPr="00924BBD">
        <w:rPr>
          <w:rFonts w:asciiTheme="minorHAnsi" w:hAnsiTheme="minorHAnsi" w:cstheme="minorHAnsi"/>
          <w:sz w:val="23"/>
          <w:szCs w:val="23"/>
        </w:rPr>
        <w:t xml:space="preserve"> that a portion of accreditation commissioners be members of the public.  </w:t>
      </w:r>
    </w:p>
    <w:p w:rsidR="00C349D2" w:rsidRPr="00924BBD" w:rsidRDefault="000301C9" w:rsidP="000301C9">
      <w:pPr>
        <w:rPr>
          <w:rFonts w:asciiTheme="minorHAnsi" w:hAnsiTheme="minorHAnsi" w:cstheme="minorHAnsi"/>
          <w:sz w:val="23"/>
          <w:szCs w:val="23"/>
        </w:rPr>
      </w:pPr>
      <w:r w:rsidRPr="00924BBD">
        <w:rPr>
          <w:rFonts w:asciiTheme="minorHAnsi" w:hAnsiTheme="minorHAnsi" w:cstheme="minorHAnsi"/>
          <w:sz w:val="23"/>
          <w:szCs w:val="23"/>
        </w:rPr>
        <w:t xml:space="preserve">Ultimately, </w:t>
      </w:r>
      <w:r w:rsidR="00C349D2" w:rsidRPr="00924BBD">
        <w:rPr>
          <w:rFonts w:asciiTheme="minorHAnsi" w:hAnsiTheme="minorHAnsi" w:cstheme="minorHAnsi"/>
          <w:sz w:val="23"/>
          <w:szCs w:val="23"/>
        </w:rPr>
        <w:t xml:space="preserve">all regulation in an enterprise as complex and diverse as American higher education is self-regulation, </w:t>
      </w:r>
      <w:r w:rsidRPr="00924BBD">
        <w:rPr>
          <w:rFonts w:asciiTheme="minorHAnsi" w:hAnsiTheme="minorHAnsi" w:cstheme="minorHAnsi"/>
          <w:sz w:val="23"/>
          <w:szCs w:val="23"/>
        </w:rPr>
        <w:t xml:space="preserve">and </w:t>
      </w:r>
      <w:r w:rsidR="00C349D2" w:rsidRPr="00924BBD">
        <w:rPr>
          <w:rFonts w:asciiTheme="minorHAnsi" w:hAnsiTheme="minorHAnsi" w:cstheme="minorHAnsi"/>
          <w:sz w:val="23"/>
          <w:szCs w:val="23"/>
        </w:rPr>
        <w:t xml:space="preserve">it is necessary that member institutions be sufficiently involved and invested in understanding the issues, arriving at self-regulatory solutions, and establishing principles to ensure institutional compliance.  </w:t>
      </w:r>
    </w:p>
    <w:p w:rsidR="00043CC8" w:rsidRPr="00924BBD" w:rsidRDefault="00CE352F" w:rsidP="006111D7">
      <w:pPr>
        <w:rPr>
          <w:rFonts w:asciiTheme="minorHAnsi" w:hAnsiTheme="minorHAnsi" w:cstheme="minorHAnsi"/>
          <w:sz w:val="23"/>
          <w:szCs w:val="23"/>
        </w:rPr>
      </w:pPr>
      <w:r w:rsidRPr="00924BBD">
        <w:rPr>
          <w:rFonts w:asciiTheme="minorHAnsi" w:hAnsiTheme="minorHAnsi" w:cstheme="minorHAnsi"/>
          <w:sz w:val="23"/>
          <w:szCs w:val="23"/>
        </w:rPr>
        <w:t>In making the recommendation to retain the link between accreditation and aid eligibility, w</w:t>
      </w:r>
      <w:r w:rsidR="00043CC8" w:rsidRPr="00924BBD">
        <w:rPr>
          <w:rFonts w:asciiTheme="minorHAnsi" w:hAnsiTheme="minorHAnsi" w:cstheme="minorHAnsi"/>
          <w:sz w:val="23"/>
          <w:szCs w:val="23"/>
        </w:rPr>
        <w:t xml:space="preserve">e recognize that this is a time of considerable focus on quality in higher education, with emerging areas of </w:t>
      </w:r>
      <w:r w:rsidR="00FB0523" w:rsidRPr="00924BBD">
        <w:rPr>
          <w:rFonts w:asciiTheme="minorHAnsi" w:hAnsiTheme="minorHAnsi" w:cstheme="minorHAnsi"/>
          <w:sz w:val="23"/>
          <w:szCs w:val="23"/>
        </w:rPr>
        <w:t xml:space="preserve">serious </w:t>
      </w:r>
      <w:r w:rsidR="00043CC8" w:rsidRPr="00924BBD">
        <w:rPr>
          <w:rFonts w:asciiTheme="minorHAnsi" w:hAnsiTheme="minorHAnsi" w:cstheme="minorHAnsi"/>
          <w:sz w:val="23"/>
          <w:szCs w:val="23"/>
        </w:rPr>
        <w:t xml:space="preserve">concern about </w:t>
      </w:r>
      <w:r w:rsidR="00FB0523" w:rsidRPr="00924BBD">
        <w:rPr>
          <w:rFonts w:asciiTheme="minorHAnsi" w:hAnsiTheme="minorHAnsi" w:cstheme="minorHAnsi"/>
          <w:sz w:val="23"/>
          <w:szCs w:val="23"/>
        </w:rPr>
        <w:t xml:space="preserve">value, standards, </w:t>
      </w:r>
      <w:r w:rsidR="00043CC8" w:rsidRPr="00924BBD">
        <w:rPr>
          <w:rFonts w:asciiTheme="minorHAnsi" w:hAnsiTheme="minorHAnsi" w:cstheme="minorHAnsi"/>
          <w:sz w:val="23"/>
          <w:szCs w:val="23"/>
        </w:rPr>
        <w:t xml:space="preserve">outcomes, </w:t>
      </w:r>
      <w:r w:rsidR="00DC5BE3" w:rsidRPr="00924BBD">
        <w:rPr>
          <w:rFonts w:asciiTheme="minorHAnsi" w:hAnsiTheme="minorHAnsi" w:cstheme="minorHAnsi"/>
          <w:sz w:val="23"/>
          <w:szCs w:val="23"/>
        </w:rPr>
        <w:t xml:space="preserve">cost, </w:t>
      </w:r>
      <w:r w:rsidR="00FB0523" w:rsidRPr="00924BBD">
        <w:rPr>
          <w:rFonts w:asciiTheme="minorHAnsi" w:hAnsiTheme="minorHAnsi" w:cstheme="minorHAnsi"/>
          <w:sz w:val="23"/>
          <w:szCs w:val="23"/>
        </w:rPr>
        <w:t xml:space="preserve">transparency, </w:t>
      </w:r>
      <w:r w:rsidR="00043CC8" w:rsidRPr="00924BBD">
        <w:rPr>
          <w:rFonts w:asciiTheme="minorHAnsi" w:hAnsiTheme="minorHAnsi" w:cstheme="minorHAnsi"/>
          <w:sz w:val="23"/>
          <w:szCs w:val="23"/>
        </w:rPr>
        <w:t xml:space="preserve">and accountability.   </w:t>
      </w:r>
      <w:r w:rsidR="00C457F7" w:rsidRPr="00924BBD">
        <w:rPr>
          <w:rFonts w:asciiTheme="minorHAnsi" w:hAnsiTheme="minorHAnsi" w:cstheme="minorHAnsi"/>
          <w:sz w:val="23"/>
          <w:szCs w:val="23"/>
        </w:rPr>
        <w:t>A</w:t>
      </w:r>
      <w:r w:rsidR="00043CC8" w:rsidRPr="00924BBD">
        <w:rPr>
          <w:rFonts w:asciiTheme="minorHAnsi" w:hAnsiTheme="minorHAnsi" w:cstheme="minorHAnsi"/>
          <w:sz w:val="23"/>
          <w:szCs w:val="23"/>
        </w:rPr>
        <w:t>ccreditors and their various constituencies must confront these challenges</w:t>
      </w:r>
      <w:r w:rsidR="00C457F7" w:rsidRPr="00924BBD">
        <w:rPr>
          <w:rFonts w:asciiTheme="minorHAnsi" w:hAnsiTheme="minorHAnsi" w:cstheme="minorHAnsi"/>
          <w:sz w:val="23"/>
          <w:szCs w:val="23"/>
        </w:rPr>
        <w:t xml:space="preserve"> vigorously</w:t>
      </w:r>
      <w:r w:rsidR="00043CC8" w:rsidRPr="00924BBD">
        <w:rPr>
          <w:rFonts w:asciiTheme="minorHAnsi" w:hAnsiTheme="minorHAnsi" w:cstheme="minorHAnsi"/>
          <w:sz w:val="23"/>
          <w:szCs w:val="23"/>
        </w:rPr>
        <w:t xml:space="preserve"> and do so in </w:t>
      </w:r>
      <w:r w:rsidR="00043CC8" w:rsidRPr="00924BBD">
        <w:rPr>
          <w:rFonts w:asciiTheme="minorHAnsi" w:hAnsiTheme="minorHAnsi" w:cstheme="minorHAnsi"/>
          <w:sz w:val="23"/>
          <w:szCs w:val="23"/>
        </w:rPr>
        <w:lastRenderedPageBreak/>
        <w:t xml:space="preserve">ways that continue to offer significant value </w:t>
      </w:r>
      <w:r w:rsidR="00DC5BE3" w:rsidRPr="00924BBD">
        <w:rPr>
          <w:rFonts w:asciiTheme="minorHAnsi" w:hAnsiTheme="minorHAnsi" w:cstheme="minorHAnsi"/>
          <w:sz w:val="23"/>
          <w:szCs w:val="23"/>
        </w:rPr>
        <w:t xml:space="preserve">and rigor </w:t>
      </w:r>
      <w:r w:rsidR="00043CC8" w:rsidRPr="00924BBD">
        <w:rPr>
          <w:rFonts w:asciiTheme="minorHAnsi" w:hAnsiTheme="minorHAnsi" w:cstheme="minorHAnsi"/>
          <w:sz w:val="23"/>
          <w:szCs w:val="23"/>
        </w:rPr>
        <w:t>in quality assurance</w:t>
      </w:r>
      <w:r w:rsidR="00C457F7" w:rsidRPr="00924BBD">
        <w:rPr>
          <w:rFonts w:asciiTheme="minorHAnsi" w:hAnsiTheme="minorHAnsi" w:cstheme="minorHAnsi"/>
          <w:sz w:val="23"/>
          <w:szCs w:val="23"/>
        </w:rPr>
        <w:t>.  T</w:t>
      </w:r>
      <w:r w:rsidR="00043CC8" w:rsidRPr="00924BBD">
        <w:rPr>
          <w:rFonts w:asciiTheme="minorHAnsi" w:hAnsiTheme="minorHAnsi" w:cstheme="minorHAnsi"/>
          <w:sz w:val="23"/>
          <w:szCs w:val="23"/>
        </w:rPr>
        <w:t xml:space="preserve">heir effort must also be considered in light of </w:t>
      </w:r>
      <w:r w:rsidR="003153DF" w:rsidRPr="00924BBD">
        <w:rPr>
          <w:rFonts w:asciiTheme="minorHAnsi" w:hAnsiTheme="minorHAnsi" w:cstheme="minorHAnsi"/>
          <w:sz w:val="23"/>
          <w:szCs w:val="23"/>
        </w:rPr>
        <w:t xml:space="preserve">the full array of actors and processes </w:t>
      </w:r>
      <w:r w:rsidR="00C457F7" w:rsidRPr="00924BBD">
        <w:rPr>
          <w:rFonts w:asciiTheme="minorHAnsi" w:hAnsiTheme="minorHAnsi" w:cstheme="minorHAnsi"/>
          <w:sz w:val="23"/>
          <w:szCs w:val="23"/>
        </w:rPr>
        <w:t>with responsibilities for</w:t>
      </w:r>
      <w:r w:rsidR="003153DF" w:rsidRPr="00924BBD">
        <w:rPr>
          <w:rFonts w:asciiTheme="minorHAnsi" w:hAnsiTheme="minorHAnsi" w:cstheme="minorHAnsi"/>
          <w:sz w:val="23"/>
          <w:szCs w:val="23"/>
        </w:rPr>
        <w:t xml:space="preserve"> determining </w:t>
      </w:r>
      <w:r w:rsidR="00C457F7" w:rsidRPr="00924BBD">
        <w:rPr>
          <w:rFonts w:asciiTheme="minorHAnsi" w:hAnsiTheme="minorHAnsi" w:cstheme="minorHAnsi"/>
          <w:sz w:val="23"/>
          <w:szCs w:val="23"/>
        </w:rPr>
        <w:t xml:space="preserve">and enforcing </w:t>
      </w:r>
      <w:r w:rsidR="003153DF" w:rsidRPr="00924BBD">
        <w:rPr>
          <w:rFonts w:asciiTheme="minorHAnsi" w:hAnsiTheme="minorHAnsi" w:cstheme="minorHAnsi"/>
          <w:sz w:val="23"/>
          <w:szCs w:val="23"/>
        </w:rPr>
        <w:t>quality</w:t>
      </w:r>
      <w:r w:rsidR="00C457F7" w:rsidRPr="00924BBD">
        <w:rPr>
          <w:rFonts w:asciiTheme="minorHAnsi" w:hAnsiTheme="minorHAnsi" w:cstheme="minorHAnsi"/>
          <w:sz w:val="23"/>
          <w:szCs w:val="23"/>
        </w:rPr>
        <w:t xml:space="preserve"> standards</w:t>
      </w:r>
      <w:r w:rsidR="003153DF" w:rsidRPr="00924BBD">
        <w:rPr>
          <w:rFonts w:asciiTheme="minorHAnsi" w:hAnsiTheme="minorHAnsi" w:cstheme="minorHAnsi"/>
          <w:sz w:val="23"/>
          <w:szCs w:val="23"/>
        </w:rPr>
        <w:t>.</w:t>
      </w:r>
    </w:p>
    <w:p w:rsidR="003153DF" w:rsidRPr="00924BBD" w:rsidRDefault="00FA275C" w:rsidP="006111D7">
      <w:pPr>
        <w:rPr>
          <w:rFonts w:asciiTheme="minorHAnsi" w:hAnsiTheme="minorHAnsi" w:cstheme="minorHAnsi"/>
          <w:sz w:val="23"/>
          <w:szCs w:val="23"/>
        </w:rPr>
      </w:pPr>
      <w:r w:rsidRPr="00924BBD">
        <w:rPr>
          <w:rFonts w:asciiTheme="minorHAnsi" w:hAnsiTheme="minorHAnsi" w:cstheme="minorHAnsi"/>
          <w:sz w:val="23"/>
          <w:szCs w:val="23"/>
        </w:rPr>
        <w:t>A</w:t>
      </w:r>
      <w:r w:rsidR="00043CC8" w:rsidRPr="00924BBD">
        <w:rPr>
          <w:rFonts w:asciiTheme="minorHAnsi" w:hAnsiTheme="minorHAnsi" w:cstheme="minorHAnsi"/>
          <w:sz w:val="23"/>
          <w:szCs w:val="23"/>
        </w:rPr>
        <w:t>s a consequence, a</w:t>
      </w:r>
      <w:r w:rsidRPr="00924BBD">
        <w:rPr>
          <w:rFonts w:asciiTheme="minorHAnsi" w:hAnsiTheme="minorHAnsi" w:cstheme="minorHAnsi"/>
          <w:sz w:val="23"/>
          <w:szCs w:val="23"/>
        </w:rPr>
        <w:t xml:space="preserve">ccompanying our recommendation to retain the link between accreditation and aid eligibility are a number of additional </w:t>
      </w:r>
      <w:r w:rsidR="00D42D6A" w:rsidRPr="00924BBD">
        <w:rPr>
          <w:rFonts w:asciiTheme="minorHAnsi" w:hAnsiTheme="minorHAnsi" w:cstheme="minorHAnsi"/>
          <w:sz w:val="23"/>
          <w:szCs w:val="23"/>
        </w:rPr>
        <w:t xml:space="preserve">observations and </w:t>
      </w:r>
      <w:r w:rsidRPr="00924BBD">
        <w:rPr>
          <w:rFonts w:asciiTheme="minorHAnsi" w:hAnsiTheme="minorHAnsi" w:cstheme="minorHAnsi"/>
          <w:sz w:val="23"/>
          <w:szCs w:val="23"/>
        </w:rPr>
        <w:t>recommendations</w:t>
      </w:r>
      <w:r w:rsidR="00D42D6A" w:rsidRPr="00924BBD">
        <w:rPr>
          <w:rFonts w:asciiTheme="minorHAnsi" w:hAnsiTheme="minorHAnsi" w:cstheme="minorHAnsi"/>
          <w:sz w:val="23"/>
          <w:szCs w:val="23"/>
        </w:rPr>
        <w:t xml:space="preserve">.  </w:t>
      </w:r>
      <w:r w:rsidR="00B55B51" w:rsidRPr="00924BBD">
        <w:rPr>
          <w:rFonts w:asciiTheme="minorHAnsi" w:hAnsiTheme="minorHAnsi" w:cstheme="minorHAnsi"/>
          <w:sz w:val="23"/>
          <w:szCs w:val="23"/>
        </w:rPr>
        <w:t>We</w:t>
      </w:r>
      <w:r w:rsidR="00D42D6A" w:rsidRPr="00924BBD">
        <w:rPr>
          <w:rFonts w:asciiTheme="minorHAnsi" w:hAnsiTheme="minorHAnsi" w:cstheme="minorHAnsi"/>
          <w:sz w:val="23"/>
          <w:szCs w:val="23"/>
        </w:rPr>
        <w:t xml:space="preserve"> begin with </w:t>
      </w:r>
      <w:r w:rsidRPr="00924BBD">
        <w:rPr>
          <w:rFonts w:asciiTheme="minorHAnsi" w:hAnsiTheme="minorHAnsi" w:cstheme="minorHAnsi"/>
          <w:sz w:val="23"/>
          <w:szCs w:val="23"/>
        </w:rPr>
        <w:t>consideration</w:t>
      </w:r>
      <w:r w:rsidR="00D42D6A" w:rsidRPr="00924BBD">
        <w:rPr>
          <w:rFonts w:asciiTheme="minorHAnsi" w:hAnsiTheme="minorHAnsi" w:cstheme="minorHAnsi"/>
          <w:sz w:val="23"/>
          <w:szCs w:val="23"/>
        </w:rPr>
        <w:t xml:space="preserve"> of the context of the triad of actors invol</w:t>
      </w:r>
      <w:r w:rsidR="00B55B51" w:rsidRPr="00924BBD">
        <w:rPr>
          <w:rFonts w:asciiTheme="minorHAnsi" w:hAnsiTheme="minorHAnsi" w:cstheme="minorHAnsi"/>
          <w:sz w:val="23"/>
          <w:szCs w:val="23"/>
        </w:rPr>
        <w:t>ved in quality assurance, offer</w:t>
      </w:r>
      <w:r w:rsidR="00D42D6A" w:rsidRPr="00924BBD">
        <w:rPr>
          <w:rFonts w:asciiTheme="minorHAnsi" w:hAnsiTheme="minorHAnsi" w:cstheme="minorHAnsi"/>
          <w:sz w:val="23"/>
          <w:szCs w:val="23"/>
        </w:rPr>
        <w:t xml:space="preserve"> some perspective on the roles, functions, and opportuniti</w:t>
      </w:r>
      <w:r w:rsidR="00B55B51" w:rsidRPr="00924BBD">
        <w:rPr>
          <w:rFonts w:asciiTheme="minorHAnsi" w:hAnsiTheme="minorHAnsi" w:cstheme="minorHAnsi"/>
          <w:sz w:val="23"/>
          <w:szCs w:val="23"/>
        </w:rPr>
        <w:t>es for change for each, examine</w:t>
      </w:r>
      <w:r w:rsidR="00D42D6A" w:rsidRPr="00924BBD">
        <w:rPr>
          <w:rFonts w:asciiTheme="minorHAnsi" w:hAnsiTheme="minorHAnsi" w:cstheme="minorHAnsi"/>
          <w:sz w:val="23"/>
          <w:szCs w:val="23"/>
        </w:rPr>
        <w:t xml:space="preserve"> the essential data by which q</w:t>
      </w:r>
      <w:r w:rsidR="00B55B51" w:rsidRPr="00924BBD">
        <w:rPr>
          <w:rFonts w:asciiTheme="minorHAnsi" w:hAnsiTheme="minorHAnsi" w:cstheme="minorHAnsi"/>
          <w:sz w:val="23"/>
          <w:szCs w:val="23"/>
        </w:rPr>
        <w:t>uality is determined, and close</w:t>
      </w:r>
      <w:r w:rsidR="00D42D6A" w:rsidRPr="00924BBD">
        <w:rPr>
          <w:rFonts w:asciiTheme="minorHAnsi" w:hAnsiTheme="minorHAnsi" w:cstheme="minorHAnsi"/>
          <w:sz w:val="23"/>
          <w:szCs w:val="23"/>
        </w:rPr>
        <w:t xml:space="preserve"> with suggestions about the role of NACIQI itself.</w:t>
      </w:r>
    </w:p>
    <w:p w:rsidR="00D42D6A" w:rsidRPr="00924BBD" w:rsidRDefault="00D42D6A" w:rsidP="009361B0">
      <w:pPr>
        <w:rPr>
          <w:rFonts w:asciiTheme="minorHAnsi" w:hAnsiTheme="minorHAnsi" w:cstheme="minorHAnsi"/>
          <w:b/>
          <w:sz w:val="23"/>
          <w:szCs w:val="23"/>
          <w:u w:val="single"/>
        </w:rPr>
      </w:pPr>
      <w:r w:rsidRPr="00924BBD">
        <w:rPr>
          <w:rFonts w:asciiTheme="minorHAnsi" w:hAnsiTheme="minorHAnsi" w:cstheme="minorHAnsi"/>
          <w:b/>
          <w:sz w:val="23"/>
          <w:szCs w:val="23"/>
          <w:u w:val="single"/>
        </w:rPr>
        <w:t>The “Triad” of actors in educational quality assurance</w:t>
      </w:r>
    </w:p>
    <w:p w:rsidR="00D42D6A" w:rsidRPr="00924BBD" w:rsidRDefault="00D42D6A" w:rsidP="006111D7">
      <w:pPr>
        <w:rPr>
          <w:rFonts w:asciiTheme="minorHAnsi" w:hAnsiTheme="minorHAnsi" w:cstheme="minorHAnsi"/>
          <w:sz w:val="23"/>
          <w:szCs w:val="23"/>
        </w:rPr>
      </w:pPr>
      <w:r w:rsidRPr="00924BBD">
        <w:rPr>
          <w:rFonts w:asciiTheme="minorHAnsi" w:hAnsiTheme="minorHAnsi" w:cstheme="minorHAnsi"/>
          <w:sz w:val="23"/>
          <w:szCs w:val="23"/>
        </w:rPr>
        <w:t xml:space="preserve">With three main actors (federal, state, and accreditor) in the </w:t>
      </w:r>
      <w:r w:rsidR="00C457F7" w:rsidRPr="00924BBD">
        <w:rPr>
          <w:rFonts w:asciiTheme="minorHAnsi" w:hAnsiTheme="minorHAnsi" w:cstheme="minorHAnsi"/>
          <w:sz w:val="23"/>
          <w:szCs w:val="23"/>
        </w:rPr>
        <w:t xml:space="preserve">complex and evolving </w:t>
      </w:r>
      <w:r w:rsidRPr="00924BBD">
        <w:rPr>
          <w:rFonts w:asciiTheme="minorHAnsi" w:hAnsiTheme="minorHAnsi" w:cstheme="minorHAnsi"/>
          <w:sz w:val="23"/>
          <w:szCs w:val="23"/>
        </w:rPr>
        <w:t xml:space="preserve">quality assurance enterprise, the responsibilities of the members of this triad </w:t>
      </w:r>
      <w:r w:rsidR="00C457F7" w:rsidRPr="00924BBD">
        <w:rPr>
          <w:rFonts w:asciiTheme="minorHAnsi" w:hAnsiTheme="minorHAnsi" w:cstheme="minorHAnsi"/>
          <w:sz w:val="23"/>
          <w:szCs w:val="23"/>
        </w:rPr>
        <w:t xml:space="preserve">understandably </w:t>
      </w:r>
      <w:r w:rsidRPr="00924BBD">
        <w:rPr>
          <w:rFonts w:asciiTheme="minorHAnsi" w:hAnsiTheme="minorHAnsi" w:cstheme="minorHAnsi"/>
          <w:sz w:val="23"/>
          <w:szCs w:val="23"/>
        </w:rPr>
        <w:t xml:space="preserve">are not fully clear. There </w:t>
      </w:r>
      <w:r w:rsidR="00C457F7" w:rsidRPr="00924BBD">
        <w:rPr>
          <w:rFonts w:asciiTheme="minorHAnsi" w:hAnsiTheme="minorHAnsi" w:cstheme="minorHAnsi"/>
          <w:sz w:val="23"/>
          <w:szCs w:val="23"/>
        </w:rPr>
        <w:t>are</w:t>
      </w:r>
      <w:r w:rsidRPr="00924BBD">
        <w:rPr>
          <w:rFonts w:asciiTheme="minorHAnsi" w:hAnsiTheme="minorHAnsi" w:cstheme="minorHAnsi"/>
          <w:sz w:val="23"/>
          <w:szCs w:val="23"/>
        </w:rPr>
        <w:t xml:space="preserve"> both overlaps in responsibilities and gaps where necessary responsibilities are not fully covered.  </w:t>
      </w:r>
      <w:r w:rsidR="00B55B51" w:rsidRPr="00924BBD">
        <w:rPr>
          <w:rFonts w:asciiTheme="minorHAnsi" w:hAnsiTheme="minorHAnsi" w:cstheme="minorHAnsi"/>
          <w:sz w:val="23"/>
          <w:szCs w:val="23"/>
        </w:rPr>
        <w:t>Our recommendations include the following:</w:t>
      </w:r>
    </w:p>
    <w:p w:rsidR="00B55B51" w:rsidRPr="00924BBD" w:rsidRDefault="00D42D6A" w:rsidP="00B55B51">
      <w:pPr>
        <w:pStyle w:val="ListParagraph"/>
        <w:numPr>
          <w:ilvl w:val="0"/>
          <w:numId w:val="9"/>
        </w:numPr>
        <w:rPr>
          <w:rFonts w:asciiTheme="minorHAnsi" w:hAnsiTheme="minorHAnsi" w:cstheme="minorHAnsi"/>
          <w:sz w:val="23"/>
          <w:szCs w:val="23"/>
        </w:rPr>
      </w:pPr>
      <w:r w:rsidRPr="00924BBD">
        <w:rPr>
          <w:rFonts w:asciiTheme="minorHAnsi" w:hAnsiTheme="minorHAnsi" w:cstheme="minorHAnsi"/>
          <w:sz w:val="23"/>
          <w:szCs w:val="23"/>
        </w:rPr>
        <w:t>Clarify and articulate common understandings about the responsibilities of each member of the triad.</w:t>
      </w:r>
      <w:r w:rsidR="002370FD" w:rsidRPr="00924BBD">
        <w:rPr>
          <w:rFonts w:asciiTheme="minorHAnsi" w:hAnsiTheme="minorHAnsi" w:cstheme="minorHAnsi"/>
          <w:sz w:val="23"/>
          <w:szCs w:val="23"/>
        </w:rPr>
        <w:t xml:space="preserve">  </w:t>
      </w:r>
      <w:r w:rsidR="002370FD" w:rsidRPr="00924BBD">
        <w:rPr>
          <w:rFonts w:asciiTheme="minorHAnsi" w:hAnsiTheme="minorHAnsi" w:cstheme="minorHAnsi"/>
          <w:b/>
          <w:i/>
          <w:color w:val="1F497D" w:themeColor="text2"/>
          <w:sz w:val="23"/>
          <w:szCs w:val="23"/>
        </w:rPr>
        <w:t>(</w:t>
      </w:r>
      <w:r w:rsidR="00B55B51" w:rsidRPr="00924BBD">
        <w:rPr>
          <w:rFonts w:asciiTheme="minorHAnsi" w:hAnsiTheme="minorHAnsi" w:cstheme="minorHAnsi"/>
          <w:b/>
          <w:i/>
          <w:color w:val="1F497D" w:themeColor="text2"/>
          <w:sz w:val="23"/>
          <w:szCs w:val="23"/>
        </w:rPr>
        <w:t>formerly “option 1”--</w:t>
      </w:r>
      <w:r w:rsidR="002370FD" w:rsidRPr="00924BBD">
        <w:rPr>
          <w:rFonts w:asciiTheme="minorHAnsi" w:hAnsiTheme="minorHAnsi" w:cstheme="minorHAnsi"/>
          <w:b/>
          <w:i/>
          <w:color w:val="1F497D" w:themeColor="text2"/>
          <w:sz w:val="23"/>
          <w:szCs w:val="23"/>
        </w:rPr>
        <w:t xml:space="preserve">reference </w:t>
      </w:r>
      <w:r w:rsidR="007959E9" w:rsidRPr="00924BBD">
        <w:rPr>
          <w:rFonts w:asciiTheme="minorHAnsi" w:hAnsiTheme="minorHAnsi" w:cstheme="minorHAnsi"/>
          <w:b/>
          <w:i/>
          <w:color w:val="1F497D" w:themeColor="text2"/>
          <w:sz w:val="23"/>
          <w:szCs w:val="23"/>
        </w:rPr>
        <w:t>11/11</w:t>
      </w:r>
      <w:r w:rsidR="002370FD" w:rsidRPr="00924BBD">
        <w:rPr>
          <w:rFonts w:asciiTheme="minorHAnsi" w:hAnsiTheme="minorHAnsi" w:cstheme="minorHAnsi"/>
          <w:b/>
          <w:i/>
          <w:color w:val="1F497D" w:themeColor="text2"/>
          <w:sz w:val="23"/>
          <w:szCs w:val="23"/>
        </w:rPr>
        <w:t xml:space="preserve">, or </w:t>
      </w:r>
      <w:r w:rsidR="00B55B51" w:rsidRPr="00924BBD">
        <w:rPr>
          <w:rFonts w:asciiTheme="minorHAnsi" w:hAnsiTheme="minorHAnsi" w:cstheme="minorHAnsi"/>
          <w:b/>
          <w:i/>
          <w:color w:val="1F497D" w:themeColor="text2"/>
          <w:sz w:val="23"/>
          <w:szCs w:val="23"/>
        </w:rPr>
        <w:t>100</w:t>
      </w:r>
      <w:r w:rsidR="002370FD" w:rsidRPr="00924BBD">
        <w:rPr>
          <w:rFonts w:asciiTheme="minorHAnsi" w:hAnsiTheme="minorHAnsi" w:cstheme="minorHAnsi"/>
          <w:b/>
          <w:i/>
          <w:color w:val="1F497D" w:themeColor="text2"/>
          <w:sz w:val="23"/>
          <w:szCs w:val="23"/>
        </w:rPr>
        <w:t>%, in straw poll)</w:t>
      </w:r>
    </w:p>
    <w:p w:rsidR="00B55B51" w:rsidRPr="00924BBD" w:rsidRDefault="00B55B51" w:rsidP="00B55B51">
      <w:pPr>
        <w:pStyle w:val="ListParagraph"/>
        <w:numPr>
          <w:ilvl w:val="0"/>
          <w:numId w:val="9"/>
        </w:numPr>
        <w:rPr>
          <w:rFonts w:asciiTheme="minorHAnsi" w:hAnsiTheme="minorHAnsi" w:cstheme="minorHAnsi"/>
          <w:b/>
          <w:i/>
          <w:color w:val="1F497D" w:themeColor="text2"/>
          <w:sz w:val="23"/>
          <w:szCs w:val="23"/>
        </w:rPr>
      </w:pPr>
      <w:r w:rsidRPr="00924BBD">
        <w:rPr>
          <w:rFonts w:asciiTheme="minorHAnsi" w:hAnsiTheme="minorHAnsi" w:cstheme="minorHAnsi"/>
          <w:sz w:val="23"/>
          <w:szCs w:val="23"/>
        </w:rPr>
        <w:t>Coordinate/increase</w:t>
      </w:r>
      <w:r w:rsidR="00D42D6A" w:rsidRPr="00924BBD">
        <w:rPr>
          <w:rFonts w:asciiTheme="minorHAnsi" w:hAnsiTheme="minorHAnsi" w:cstheme="minorHAnsi"/>
          <w:sz w:val="23"/>
          <w:szCs w:val="23"/>
        </w:rPr>
        <w:t xml:space="preserve"> communication among actors to achieve greater commonality across the quality assurance/eligibility enterprise.  Increased communication among the members of the triad may identify common concerns and shareable data.</w:t>
      </w:r>
      <w:r w:rsidR="002370FD" w:rsidRPr="00924BBD">
        <w:rPr>
          <w:rFonts w:asciiTheme="minorHAnsi" w:hAnsiTheme="minorHAnsi" w:cstheme="minorHAnsi"/>
          <w:sz w:val="23"/>
          <w:szCs w:val="23"/>
        </w:rPr>
        <w:t xml:space="preserve">  </w:t>
      </w:r>
      <w:r w:rsidR="002370FD" w:rsidRPr="00924BBD">
        <w:rPr>
          <w:rFonts w:asciiTheme="minorHAnsi" w:hAnsiTheme="minorHAnsi" w:cstheme="minorHAnsi"/>
          <w:b/>
          <w:i/>
          <w:color w:val="1F497D" w:themeColor="text2"/>
          <w:sz w:val="23"/>
          <w:szCs w:val="23"/>
        </w:rPr>
        <w:t>(</w:t>
      </w:r>
      <w:r w:rsidRPr="00924BBD">
        <w:rPr>
          <w:rFonts w:asciiTheme="minorHAnsi" w:hAnsiTheme="minorHAnsi" w:cstheme="minorHAnsi"/>
          <w:b/>
          <w:i/>
          <w:color w:val="1F497D" w:themeColor="text2"/>
          <w:sz w:val="23"/>
          <w:szCs w:val="23"/>
        </w:rPr>
        <w:t>formerly “option 2”--</w:t>
      </w:r>
      <w:r w:rsidR="002370FD" w:rsidRPr="00924BBD">
        <w:rPr>
          <w:rFonts w:asciiTheme="minorHAnsi" w:hAnsiTheme="minorHAnsi" w:cstheme="minorHAnsi"/>
          <w:b/>
          <w:i/>
          <w:color w:val="1F497D" w:themeColor="text2"/>
          <w:sz w:val="23"/>
          <w:szCs w:val="23"/>
        </w:rPr>
        <w:t xml:space="preserve">reference </w:t>
      </w:r>
      <w:r w:rsidR="007959E9" w:rsidRPr="00924BBD">
        <w:rPr>
          <w:rFonts w:asciiTheme="minorHAnsi" w:hAnsiTheme="minorHAnsi" w:cstheme="minorHAnsi"/>
          <w:b/>
          <w:i/>
          <w:color w:val="1F497D" w:themeColor="text2"/>
          <w:sz w:val="23"/>
          <w:szCs w:val="23"/>
        </w:rPr>
        <w:t>11/11</w:t>
      </w:r>
      <w:r w:rsidRPr="00924BBD">
        <w:rPr>
          <w:rFonts w:asciiTheme="minorHAnsi" w:hAnsiTheme="minorHAnsi" w:cstheme="minorHAnsi"/>
          <w:b/>
          <w:i/>
          <w:color w:val="1F497D" w:themeColor="text2"/>
          <w:sz w:val="23"/>
          <w:szCs w:val="23"/>
        </w:rPr>
        <w:t>, or 100%, in straw poll</w:t>
      </w:r>
      <w:r w:rsidR="002370FD" w:rsidRPr="00924BBD">
        <w:rPr>
          <w:rFonts w:asciiTheme="minorHAnsi" w:hAnsiTheme="minorHAnsi" w:cstheme="minorHAnsi"/>
          <w:b/>
          <w:i/>
          <w:color w:val="1F497D" w:themeColor="text2"/>
          <w:sz w:val="23"/>
          <w:szCs w:val="23"/>
        </w:rPr>
        <w:t>)</w:t>
      </w:r>
    </w:p>
    <w:p w:rsidR="0060071B" w:rsidRPr="00924BBD" w:rsidRDefault="00102AA4" w:rsidP="0060071B">
      <w:pPr>
        <w:pStyle w:val="ListParagraph"/>
        <w:numPr>
          <w:ilvl w:val="0"/>
          <w:numId w:val="9"/>
        </w:numPr>
        <w:rPr>
          <w:rFonts w:asciiTheme="minorHAnsi" w:hAnsiTheme="minorHAnsi" w:cstheme="minorHAnsi"/>
          <w:sz w:val="23"/>
          <w:szCs w:val="23"/>
        </w:rPr>
      </w:pPr>
      <w:r w:rsidRPr="00924BBD">
        <w:rPr>
          <w:rFonts w:asciiTheme="minorHAnsi" w:hAnsiTheme="minorHAnsi" w:cstheme="minorHAnsi"/>
          <w:sz w:val="23"/>
          <w:szCs w:val="23"/>
        </w:rPr>
        <w:t xml:space="preserve">Encourage </w:t>
      </w:r>
      <w:r w:rsidR="0060071B" w:rsidRPr="00924BBD">
        <w:rPr>
          <w:rFonts w:asciiTheme="minorHAnsi" w:hAnsiTheme="minorHAnsi" w:cstheme="minorHAnsi"/>
          <w:sz w:val="23"/>
          <w:szCs w:val="23"/>
        </w:rPr>
        <w:t>the state</w:t>
      </w:r>
      <w:r w:rsidR="00D42D6A" w:rsidRPr="00924BBD">
        <w:rPr>
          <w:rFonts w:asciiTheme="minorHAnsi" w:hAnsiTheme="minorHAnsi" w:cstheme="minorHAnsi"/>
          <w:sz w:val="23"/>
          <w:szCs w:val="23"/>
        </w:rPr>
        <w:t>s</w:t>
      </w:r>
      <w:r w:rsidR="0060071B" w:rsidRPr="00924BBD">
        <w:rPr>
          <w:rFonts w:asciiTheme="minorHAnsi" w:hAnsiTheme="minorHAnsi" w:cstheme="minorHAnsi"/>
          <w:sz w:val="23"/>
          <w:szCs w:val="23"/>
        </w:rPr>
        <w:t>’</w:t>
      </w:r>
      <w:r w:rsidR="00D42D6A" w:rsidRPr="00924BBD">
        <w:rPr>
          <w:rFonts w:asciiTheme="minorHAnsi" w:hAnsiTheme="minorHAnsi" w:cstheme="minorHAnsi"/>
          <w:sz w:val="23"/>
          <w:szCs w:val="23"/>
        </w:rPr>
        <w:t xml:space="preserve"> engagement with consumer protection and investigation, whether within or outside the processes of accreditation.</w:t>
      </w:r>
      <w:r w:rsidR="002370FD" w:rsidRPr="00924BBD">
        <w:rPr>
          <w:rFonts w:asciiTheme="minorHAnsi" w:hAnsiTheme="minorHAnsi" w:cstheme="minorHAnsi"/>
          <w:sz w:val="23"/>
          <w:szCs w:val="23"/>
        </w:rPr>
        <w:t xml:space="preserve"> </w:t>
      </w:r>
      <w:r w:rsidR="002370FD" w:rsidRPr="00924BBD">
        <w:rPr>
          <w:rFonts w:asciiTheme="minorHAnsi" w:hAnsiTheme="minorHAnsi" w:cstheme="minorHAnsi"/>
          <w:b/>
          <w:i/>
          <w:color w:val="1F497D" w:themeColor="text2"/>
          <w:sz w:val="23"/>
          <w:szCs w:val="23"/>
        </w:rPr>
        <w:t>(</w:t>
      </w:r>
      <w:r w:rsidR="00B55B51" w:rsidRPr="00924BBD">
        <w:rPr>
          <w:rFonts w:asciiTheme="minorHAnsi" w:hAnsiTheme="minorHAnsi" w:cstheme="minorHAnsi"/>
          <w:b/>
          <w:i/>
          <w:color w:val="1F497D" w:themeColor="text2"/>
          <w:sz w:val="23"/>
          <w:szCs w:val="23"/>
        </w:rPr>
        <w:t>formerly part of “option 3”--</w:t>
      </w:r>
      <w:r w:rsidR="002370FD" w:rsidRPr="00924BBD">
        <w:rPr>
          <w:rFonts w:asciiTheme="minorHAnsi" w:hAnsiTheme="minorHAnsi" w:cstheme="minorHAnsi"/>
          <w:b/>
          <w:i/>
          <w:color w:val="1F497D" w:themeColor="text2"/>
          <w:sz w:val="23"/>
          <w:szCs w:val="23"/>
        </w:rPr>
        <w:t xml:space="preserve">reference </w:t>
      </w:r>
      <w:r w:rsidR="00B55B51" w:rsidRPr="00924BBD">
        <w:rPr>
          <w:rFonts w:asciiTheme="minorHAnsi" w:hAnsiTheme="minorHAnsi" w:cstheme="minorHAnsi"/>
          <w:b/>
          <w:i/>
          <w:color w:val="1F497D" w:themeColor="text2"/>
          <w:sz w:val="23"/>
          <w:szCs w:val="23"/>
        </w:rPr>
        <w:t>8/</w:t>
      </w:r>
      <w:r w:rsidR="007959E9" w:rsidRPr="00924BBD">
        <w:rPr>
          <w:rFonts w:asciiTheme="minorHAnsi" w:hAnsiTheme="minorHAnsi" w:cstheme="minorHAnsi"/>
          <w:b/>
          <w:i/>
          <w:color w:val="1F497D" w:themeColor="text2"/>
          <w:sz w:val="23"/>
          <w:szCs w:val="23"/>
        </w:rPr>
        <w:t>11</w:t>
      </w:r>
      <w:r w:rsidR="002370FD" w:rsidRPr="00924BBD">
        <w:rPr>
          <w:rFonts w:asciiTheme="minorHAnsi" w:hAnsiTheme="minorHAnsi" w:cstheme="minorHAnsi"/>
          <w:b/>
          <w:i/>
          <w:color w:val="1F497D" w:themeColor="text2"/>
          <w:sz w:val="23"/>
          <w:szCs w:val="23"/>
        </w:rPr>
        <w:t xml:space="preserve">, or </w:t>
      </w:r>
      <w:r w:rsidR="007959E9" w:rsidRPr="00924BBD">
        <w:rPr>
          <w:rFonts w:asciiTheme="minorHAnsi" w:hAnsiTheme="minorHAnsi" w:cstheme="minorHAnsi"/>
          <w:b/>
          <w:i/>
          <w:color w:val="1F497D" w:themeColor="text2"/>
          <w:sz w:val="23"/>
          <w:szCs w:val="23"/>
        </w:rPr>
        <w:t>73</w:t>
      </w:r>
      <w:r w:rsidR="002370FD" w:rsidRPr="00924BBD">
        <w:rPr>
          <w:rFonts w:asciiTheme="minorHAnsi" w:hAnsiTheme="minorHAnsi" w:cstheme="minorHAnsi"/>
          <w:b/>
          <w:i/>
          <w:color w:val="1F497D" w:themeColor="text2"/>
          <w:sz w:val="23"/>
          <w:szCs w:val="23"/>
        </w:rPr>
        <w:t>%, in straw poll)</w:t>
      </w:r>
      <w:r w:rsidR="00D42D6A" w:rsidRPr="00924BBD">
        <w:rPr>
          <w:rFonts w:asciiTheme="minorHAnsi" w:hAnsiTheme="minorHAnsi" w:cstheme="minorHAnsi"/>
          <w:sz w:val="23"/>
          <w:szCs w:val="23"/>
        </w:rPr>
        <w:t xml:space="preserve">  </w:t>
      </w:r>
    </w:p>
    <w:p w:rsidR="00D42D6A" w:rsidRPr="00924BBD" w:rsidRDefault="00D42D6A" w:rsidP="0060071B">
      <w:pPr>
        <w:rPr>
          <w:rFonts w:asciiTheme="minorHAnsi" w:hAnsiTheme="minorHAnsi" w:cstheme="minorHAnsi"/>
          <w:b/>
          <w:sz w:val="23"/>
          <w:szCs w:val="23"/>
          <w:u w:val="single"/>
        </w:rPr>
      </w:pPr>
      <w:r w:rsidRPr="00924BBD">
        <w:rPr>
          <w:rFonts w:asciiTheme="minorHAnsi" w:hAnsiTheme="minorHAnsi" w:cstheme="minorHAnsi"/>
          <w:b/>
          <w:sz w:val="23"/>
          <w:szCs w:val="23"/>
          <w:u w:val="single"/>
        </w:rPr>
        <w:t>The federal interest in quality assurance</w:t>
      </w:r>
    </w:p>
    <w:p w:rsidR="00D42D6A" w:rsidRPr="00924BBD" w:rsidRDefault="00D42D6A" w:rsidP="003153DF">
      <w:pPr>
        <w:rPr>
          <w:rFonts w:asciiTheme="minorHAnsi" w:hAnsiTheme="minorHAnsi" w:cstheme="minorHAnsi"/>
          <w:sz w:val="23"/>
          <w:szCs w:val="23"/>
        </w:rPr>
      </w:pPr>
      <w:r w:rsidRPr="00924BBD">
        <w:rPr>
          <w:rFonts w:asciiTheme="minorHAnsi" w:hAnsiTheme="minorHAnsi" w:cstheme="minorHAnsi"/>
          <w:sz w:val="23"/>
          <w:szCs w:val="23"/>
        </w:rPr>
        <w:t>The federal interest in accreditation includes the assurance that taxpayer funds are used in accordance with the principle that a well-educated citizenry promotes individual and community well-being, economic competiveness and workforce development, and civic participation.  In this vein, it is of keen federal interest to insure that funds are only used for</w:t>
      </w:r>
      <w:r w:rsidRPr="00924BBD">
        <w:rPr>
          <w:rFonts w:asciiTheme="minorHAnsi" w:hAnsiTheme="minorHAnsi" w:cstheme="minorHAnsi"/>
          <w:i/>
          <w:sz w:val="23"/>
          <w:szCs w:val="23"/>
        </w:rPr>
        <w:t xml:space="preserve"> </w:t>
      </w:r>
      <w:r w:rsidRPr="00924BBD">
        <w:rPr>
          <w:rFonts w:asciiTheme="minorHAnsi" w:hAnsiTheme="minorHAnsi" w:cstheme="minorHAnsi"/>
          <w:sz w:val="23"/>
          <w:szCs w:val="23"/>
        </w:rPr>
        <w:t xml:space="preserve">educational activities that address these goals in an adequate manner.  Thus, the federal interest is not satisfied by consideration of financial stability/compliance data alone but must include both financial and quality assurance standards. </w:t>
      </w:r>
      <w:r w:rsidR="003153DF" w:rsidRPr="00924BBD">
        <w:rPr>
          <w:rFonts w:asciiTheme="minorHAnsi" w:hAnsiTheme="minorHAnsi" w:cstheme="minorHAnsi"/>
          <w:sz w:val="23"/>
          <w:szCs w:val="23"/>
        </w:rPr>
        <w:t xml:space="preserve"> </w:t>
      </w:r>
      <w:r w:rsidRPr="00924BBD">
        <w:rPr>
          <w:rFonts w:asciiTheme="minorHAnsi" w:hAnsiTheme="minorHAnsi" w:cstheme="minorHAnsi"/>
          <w:sz w:val="23"/>
          <w:szCs w:val="23"/>
        </w:rPr>
        <w:t>The federal interest may also include consumer protection and assisting consumers in making pos</w:t>
      </w:r>
      <w:r w:rsidR="003153DF" w:rsidRPr="00924BBD">
        <w:rPr>
          <w:rFonts w:asciiTheme="minorHAnsi" w:hAnsiTheme="minorHAnsi" w:cstheme="minorHAnsi"/>
          <w:sz w:val="23"/>
          <w:szCs w:val="23"/>
        </w:rPr>
        <w:t xml:space="preserve">t-secondary education choices, as well as </w:t>
      </w:r>
      <w:r w:rsidRPr="00924BBD">
        <w:rPr>
          <w:rFonts w:asciiTheme="minorHAnsi" w:hAnsiTheme="minorHAnsi" w:cstheme="minorHAnsi"/>
          <w:sz w:val="23"/>
          <w:szCs w:val="23"/>
        </w:rPr>
        <w:t>promoting the improvement of education and the institutions that provide it.</w:t>
      </w:r>
    </w:p>
    <w:p w:rsidR="00D42D6A" w:rsidRPr="00924BBD" w:rsidRDefault="00D42D6A" w:rsidP="006111D7">
      <w:pPr>
        <w:rPr>
          <w:rFonts w:asciiTheme="minorHAnsi" w:hAnsiTheme="minorHAnsi" w:cstheme="minorHAnsi"/>
          <w:sz w:val="23"/>
          <w:szCs w:val="23"/>
        </w:rPr>
      </w:pPr>
      <w:r w:rsidRPr="00924BBD">
        <w:rPr>
          <w:rFonts w:asciiTheme="minorHAnsi" w:hAnsiTheme="minorHAnsi" w:cstheme="minorHAnsi"/>
          <w:sz w:val="23"/>
          <w:szCs w:val="23"/>
        </w:rPr>
        <w:t xml:space="preserve">In seeking to advance these interests, the federal member of the triad </w:t>
      </w:r>
      <w:r w:rsidR="00B25604" w:rsidRPr="00924BBD">
        <w:rPr>
          <w:rFonts w:asciiTheme="minorHAnsi" w:hAnsiTheme="minorHAnsi" w:cstheme="minorHAnsi"/>
          <w:sz w:val="23"/>
          <w:szCs w:val="23"/>
        </w:rPr>
        <w:t xml:space="preserve">could be expected not only to set standards and expectations for the elements for which it is responsible, but also to </w:t>
      </w:r>
      <w:r w:rsidRPr="00924BBD">
        <w:rPr>
          <w:rFonts w:asciiTheme="minorHAnsi" w:hAnsiTheme="minorHAnsi" w:cstheme="minorHAnsi"/>
          <w:sz w:val="23"/>
          <w:szCs w:val="23"/>
        </w:rPr>
        <w:t>convene and promote communication and collaboration across the triad.</w:t>
      </w:r>
    </w:p>
    <w:p w:rsidR="00D42D6A" w:rsidRPr="00924BBD" w:rsidRDefault="00D42D6A" w:rsidP="009361B0">
      <w:pPr>
        <w:rPr>
          <w:rFonts w:asciiTheme="minorHAnsi" w:hAnsiTheme="minorHAnsi" w:cstheme="minorHAnsi"/>
          <w:b/>
          <w:sz w:val="23"/>
          <w:szCs w:val="23"/>
          <w:u w:val="single"/>
        </w:rPr>
      </w:pPr>
      <w:r w:rsidRPr="00924BBD">
        <w:rPr>
          <w:rFonts w:asciiTheme="minorHAnsi" w:hAnsiTheme="minorHAnsi" w:cstheme="minorHAnsi"/>
          <w:b/>
          <w:sz w:val="23"/>
          <w:szCs w:val="23"/>
          <w:u w:val="single"/>
        </w:rPr>
        <w:lastRenderedPageBreak/>
        <w:t>The state role in quality assurance</w:t>
      </w:r>
    </w:p>
    <w:p w:rsidR="003153DF" w:rsidRPr="00924BBD" w:rsidRDefault="00D42D6A" w:rsidP="003153DF">
      <w:pPr>
        <w:rPr>
          <w:rFonts w:asciiTheme="minorHAnsi" w:hAnsiTheme="minorHAnsi" w:cstheme="minorHAnsi"/>
          <w:sz w:val="23"/>
          <w:szCs w:val="23"/>
        </w:rPr>
      </w:pPr>
      <w:r w:rsidRPr="00924BBD">
        <w:rPr>
          <w:rFonts w:asciiTheme="minorHAnsi" w:hAnsiTheme="minorHAnsi" w:cstheme="minorHAnsi"/>
          <w:sz w:val="23"/>
          <w:szCs w:val="23"/>
        </w:rPr>
        <w:t xml:space="preserve">There is considerable variability in the responsibilities that different states assume, yielding uneven coverage of those areas of responsibility specifically allocated to states.  The inconsistency of state approaches also renders some institutions triply-monitored, while others are actively monitored only by the federal and accrediting members of the triad.  </w:t>
      </w:r>
      <w:r w:rsidR="00CE352F" w:rsidRPr="00924BBD">
        <w:rPr>
          <w:rFonts w:asciiTheme="minorHAnsi" w:hAnsiTheme="minorHAnsi" w:cstheme="minorHAnsi"/>
          <w:sz w:val="23"/>
          <w:szCs w:val="23"/>
        </w:rPr>
        <w:t>Our recommendations concerning the state role include:</w:t>
      </w:r>
    </w:p>
    <w:p w:rsidR="003153DF" w:rsidRPr="00924BBD" w:rsidRDefault="00D42D6A" w:rsidP="003153DF">
      <w:pPr>
        <w:pStyle w:val="ListParagraph"/>
        <w:numPr>
          <w:ilvl w:val="0"/>
          <w:numId w:val="9"/>
        </w:numPr>
        <w:rPr>
          <w:rFonts w:asciiTheme="minorHAnsi" w:hAnsiTheme="minorHAnsi" w:cstheme="minorHAnsi"/>
          <w:sz w:val="23"/>
          <w:szCs w:val="23"/>
        </w:rPr>
      </w:pPr>
      <w:r w:rsidRPr="00924BBD">
        <w:rPr>
          <w:rFonts w:asciiTheme="minorHAnsi" w:hAnsiTheme="minorHAnsi" w:cstheme="minorHAnsi"/>
          <w:sz w:val="23"/>
          <w:szCs w:val="23"/>
        </w:rPr>
        <w:t xml:space="preserve">Determine </w:t>
      </w:r>
      <w:r w:rsidR="00B25604" w:rsidRPr="00924BBD">
        <w:rPr>
          <w:rFonts w:asciiTheme="minorHAnsi" w:hAnsiTheme="minorHAnsi" w:cstheme="minorHAnsi"/>
          <w:sz w:val="23"/>
          <w:szCs w:val="23"/>
        </w:rPr>
        <w:t xml:space="preserve">what </w:t>
      </w:r>
      <w:r w:rsidRPr="00924BBD">
        <w:rPr>
          <w:rFonts w:asciiTheme="minorHAnsi" w:hAnsiTheme="minorHAnsi" w:cstheme="minorHAnsi"/>
          <w:sz w:val="23"/>
          <w:szCs w:val="23"/>
        </w:rPr>
        <w:t xml:space="preserve">mechanisms </w:t>
      </w:r>
      <w:r w:rsidR="00B25604" w:rsidRPr="00924BBD">
        <w:rPr>
          <w:rFonts w:asciiTheme="minorHAnsi" w:hAnsiTheme="minorHAnsi" w:cstheme="minorHAnsi"/>
          <w:sz w:val="23"/>
          <w:szCs w:val="23"/>
        </w:rPr>
        <w:t xml:space="preserve">will </w:t>
      </w:r>
      <w:r w:rsidRPr="00924BBD">
        <w:rPr>
          <w:rFonts w:asciiTheme="minorHAnsi" w:hAnsiTheme="minorHAnsi" w:cstheme="minorHAnsi"/>
          <w:sz w:val="23"/>
          <w:szCs w:val="23"/>
        </w:rPr>
        <w:t xml:space="preserve">best insure that critical quality assurance/eligibility expectations are met across institutions and agencies nationwide.   </w:t>
      </w:r>
      <w:r w:rsidR="00AE78EF" w:rsidRPr="00924BBD">
        <w:rPr>
          <w:rFonts w:asciiTheme="minorHAnsi" w:hAnsiTheme="minorHAnsi" w:cstheme="minorHAnsi"/>
          <w:sz w:val="23"/>
          <w:szCs w:val="23"/>
        </w:rPr>
        <w:t>States might develop strategies to ensure consist</w:t>
      </w:r>
      <w:r w:rsidR="002F2507" w:rsidRPr="00924BBD">
        <w:rPr>
          <w:rFonts w:asciiTheme="minorHAnsi" w:hAnsiTheme="minorHAnsi" w:cstheme="minorHAnsi"/>
          <w:sz w:val="23"/>
          <w:szCs w:val="23"/>
        </w:rPr>
        <w:t>ent and coherent application of</w:t>
      </w:r>
      <w:r w:rsidR="00AE78EF" w:rsidRPr="00924BBD">
        <w:rPr>
          <w:rFonts w:asciiTheme="minorHAnsi" w:hAnsiTheme="minorHAnsi" w:cstheme="minorHAnsi"/>
          <w:sz w:val="23"/>
          <w:szCs w:val="23"/>
        </w:rPr>
        <w:t xml:space="preserve"> </w:t>
      </w:r>
      <w:r w:rsidR="002F2507" w:rsidRPr="00924BBD">
        <w:rPr>
          <w:rFonts w:asciiTheme="minorHAnsi" w:hAnsiTheme="minorHAnsi" w:cstheme="minorHAnsi"/>
          <w:sz w:val="23"/>
          <w:szCs w:val="23"/>
        </w:rPr>
        <w:t xml:space="preserve">critical </w:t>
      </w:r>
      <w:r w:rsidR="00924BBD" w:rsidRPr="00924BBD">
        <w:rPr>
          <w:rFonts w:asciiTheme="minorHAnsi" w:hAnsiTheme="minorHAnsi" w:cstheme="minorHAnsi"/>
          <w:sz w:val="23"/>
          <w:szCs w:val="23"/>
        </w:rPr>
        <w:t xml:space="preserve">standards, </w:t>
      </w:r>
      <w:r w:rsidR="00AE78EF" w:rsidRPr="00924BBD">
        <w:rPr>
          <w:rFonts w:asciiTheme="minorHAnsi" w:hAnsiTheme="minorHAnsi" w:cstheme="minorHAnsi"/>
          <w:sz w:val="23"/>
          <w:szCs w:val="23"/>
        </w:rPr>
        <w:t xml:space="preserve">and other entities </w:t>
      </w:r>
      <w:r w:rsidRPr="00924BBD">
        <w:rPr>
          <w:rFonts w:asciiTheme="minorHAnsi" w:hAnsiTheme="minorHAnsi" w:cstheme="minorHAnsi"/>
          <w:sz w:val="23"/>
          <w:szCs w:val="23"/>
        </w:rPr>
        <w:t xml:space="preserve">might </w:t>
      </w:r>
      <w:r w:rsidR="00AE78EF" w:rsidRPr="00924BBD">
        <w:rPr>
          <w:rFonts w:asciiTheme="minorHAnsi" w:hAnsiTheme="minorHAnsi" w:cstheme="minorHAnsi"/>
          <w:sz w:val="23"/>
          <w:szCs w:val="23"/>
        </w:rPr>
        <w:t>suggest</w:t>
      </w:r>
      <w:r w:rsidR="003153DF" w:rsidRPr="00924BBD">
        <w:rPr>
          <w:rFonts w:asciiTheme="minorHAnsi" w:hAnsiTheme="minorHAnsi" w:cstheme="minorHAnsi"/>
          <w:sz w:val="23"/>
          <w:szCs w:val="23"/>
        </w:rPr>
        <w:t xml:space="preserve"> models for state consideration</w:t>
      </w:r>
      <w:r w:rsidR="00AE78EF" w:rsidRPr="00924BBD">
        <w:rPr>
          <w:rFonts w:asciiTheme="minorHAnsi" w:hAnsiTheme="minorHAnsi" w:cstheme="minorHAnsi"/>
          <w:sz w:val="23"/>
          <w:szCs w:val="23"/>
        </w:rPr>
        <w:t>.</w:t>
      </w:r>
      <w:r w:rsidRPr="00924BBD">
        <w:rPr>
          <w:rFonts w:asciiTheme="minorHAnsi" w:hAnsiTheme="minorHAnsi" w:cstheme="minorHAnsi"/>
          <w:sz w:val="23"/>
          <w:szCs w:val="23"/>
        </w:rPr>
        <w:t xml:space="preserve"> </w:t>
      </w:r>
      <w:r w:rsidR="00FA275C" w:rsidRPr="00924BBD">
        <w:rPr>
          <w:rFonts w:asciiTheme="minorHAnsi" w:hAnsiTheme="minorHAnsi" w:cstheme="minorHAnsi"/>
          <w:b/>
          <w:i/>
          <w:color w:val="1F497D" w:themeColor="text2"/>
          <w:sz w:val="23"/>
          <w:szCs w:val="23"/>
        </w:rPr>
        <w:t>(</w:t>
      </w:r>
      <w:r w:rsidR="003153DF" w:rsidRPr="00924BBD">
        <w:rPr>
          <w:rFonts w:asciiTheme="minorHAnsi" w:hAnsiTheme="minorHAnsi" w:cstheme="minorHAnsi"/>
          <w:b/>
          <w:i/>
          <w:color w:val="1F497D" w:themeColor="text2"/>
          <w:sz w:val="23"/>
          <w:szCs w:val="23"/>
        </w:rPr>
        <w:t>a re-written version of formerly “option 4”--</w:t>
      </w:r>
      <w:r w:rsidR="00FA275C" w:rsidRPr="00924BBD">
        <w:rPr>
          <w:rFonts w:asciiTheme="minorHAnsi" w:hAnsiTheme="minorHAnsi" w:cstheme="minorHAnsi"/>
          <w:b/>
          <w:i/>
          <w:color w:val="1F497D" w:themeColor="text2"/>
          <w:sz w:val="23"/>
          <w:szCs w:val="23"/>
        </w:rPr>
        <w:t xml:space="preserve">reference </w:t>
      </w:r>
      <w:r w:rsidR="007959E9" w:rsidRPr="00924BBD">
        <w:rPr>
          <w:rFonts w:asciiTheme="minorHAnsi" w:hAnsiTheme="minorHAnsi" w:cstheme="minorHAnsi"/>
          <w:b/>
          <w:i/>
          <w:color w:val="1F497D" w:themeColor="text2"/>
          <w:sz w:val="23"/>
          <w:szCs w:val="23"/>
        </w:rPr>
        <w:t>11/12</w:t>
      </w:r>
      <w:r w:rsidR="00FA275C" w:rsidRPr="00924BBD">
        <w:rPr>
          <w:rFonts w:asciiTheme="minorHAnsi" w:hAnsiTheme="minorHAnsi" w:cstheme="minorHAnsi"/>
          <w:b/>
          <w:i/>
          <w:color w:val="1F497D" w:themeColor="text2"/>
          <w:sz w:val="23"/>
          <w:szCs w:val="23"/>
        </w:rPr>
        <w:t xml:space="preserve">, or </w:t>
      </w:r>
      <w:r w:rsidR="003153DF" w:rsidRPr="00924BBD">
        <w:rPr>
          <w:rFonts w:asciiTheme="minorHAnsi" w:hAnsiTheme="minorHAnsi" w:cstheme="minorHAnsi"/>
          <w:b/>
          <w:i/>
          <w:color w:val="1F497D" w:themeColor="text2"/>
          <w:sz w:val="23"/>
          <w:szCs w:val="23"/>
        </w:rPr>
        <w:t>9</w:t>
      </w:r>
      <w:r w:rsidR="007959E9" w:rsidRPr="00924BBD">
        <w:rPr>
          <w:rFonts w:asciiTheme="minorHAnsi" w:hAnsiTheme="minorHAnsi" w:cstheme="minorHAnsi"/>
          <w:b/>
          <w:i/>
          <w:color w:val="1F497D" w:themeColor="text2"/>
          <w:sz w:val="23"/>
          <w:szCs w:val="23"/>
        </w:rPr>
        <w:t>2</w:t>
      </w:r>
      <w:r w:rsidR="00FA275C" w:rsidRPr="00924BBD">
        <w:rPr>
          <w:rFonts w:asciiTheme="minorHAnsi" w:hAnsiTheme="minorHAnsi" w:cstheme="minorHAnsi"/>
          <w:b/>
          <w:i/>
          <w:color w:val="1F497D" w:themeColor="text2"/>
          <w:sz w:val="23"/>
          <w:szCs w:val="23"/>
        </w:rPr>
        <w:t>%, in straw poll)</w:t>
      </w:r>
    </w:p>
    <w:p w:rsidR="003153DF" w:rsidRPr="00924BBD" w:rsidRDefault="00D76774" w:rsidP="003153DF">
      <w:pPr>
        <w:pStyle w:val="ListParagraph"/>
        <w:numPr>
          <w:ilvl w:val="0"/>
          <w:numId w:val="9"/>
        </w:numPr>
        <w:rPr>
          <w:rFonts w:asciiTheme="minorHAnsi" w:hAnsiTheme="minorHAnsi" w:cstheme="minorHAnsi"/>
          <w:sz w:val="23"/>
          <w:szCs w:val="23"/>
        </w:rPr>
      </w:pPr>
      <w:r w:rsidRPr="00924BBD">
        <w:rPr>
          <w:rFonts w:asciiTheme="minorHAnsi" w:hAnsiTheme="minorHAnsi" w:cstheme="minorHAnsi"/>
          <w:sz w:val="23"/>
          <w:szCs w:val="23"/>
        </w:rPr>
        <w:t>Draw on t</w:t>
      </w:r>
      <w:r w:rsidR="00D42D6A" w:rsidRPr="00924BBD">
        <w:rPr>
          <w:rFonts w:asciiTheme="minorHAnsi" w:hAnsiTheme="minorHAnsi" w:cstheme="minorHAnsi"/>
          <w:sz w:val="23"/>
          <w:szCs w:val="23"/>
        </w:rPr>
        <w:t>he convening capacity and function of the federal level to develop models for triad articulation and to promote greater engagement and consistency across states</w:t>
      </w:r>
      <w:r w:rsidR="00D42D6A" w:rsidRPr="00924BBD">
        <w:rPr>
          <w:rFonts w:asciiTheme="minorHAnsi" w:hAnsiTheme="minorHAnsi" w:cstheme="minorHAnsi"/>
          <w:i/>
          <w:sz w:val="23"/>
          <w:szCs w:val="23"/>
        </w:rPr>
        <w:t xml:space="preserve">. </w:t>
      </w:r>
      <w:r w:rsidRPr="00924BBD">
        <w:rPr>
          <w:rFonts w:asciiTheme="minorHAnsi" w:hAnsiTheme="minorHAnsi" w:cstheme="minorHAnsi"/>
          <w:i/>
          <w:sz w:val="23"/>
          <w:szCs w:val="23"/>
        </w:rPr>
        <w:t xml:space="preserve">  </w:t>
      </w:r>
      <w:r w:rsidR="00FA275C" w:rsidRPr="00924BBD">
        <w:rPr>
          <w:rFonts w:asciiTheme="minorHAnsi" w:hAnsiTheme="minorHAnsi" w:cstheme="minorHAnsi"/>
          <w:b/>
          <w:i/>
          <w:color w:val="1F497D" w:themeColor="text2"/>
          <w:sz w:val="23"/>
          <w:szCs w:val="23"/>
        </w:rPr>
        <w:t>(</w:t>
      </w:r>
      <w:r w:rsidR="003153DF" w:rsidRPr="00924BBD">
        <w:rPr>
          <w:rFonts w:asciiTheme="minorHAnsi" w:hAnsiTheme="minorHAnsi" w:cstheme="minorHAnsi"/>
          <w:b/>
          <w:i/>
          <w:color w:val="1F497D" w:themeColor="text2"/>
          <w:sz w:val="23"/>
          <w:szCs w:val="23"/>
        </w:rPr>
        <w:t>Formerly “option 5”--</w:t>
      </w:r>
      <w:r w:rsidR="00FA275C" w:rsidRPr="00924BBD">
        <w:rPr>
          <w:rFonts w:asciiTheme="minorHAnsi" w:hAnsiTheme="minorHAnsi" w:cstheme="minorHAnsi"/>
          <w:b/>
          <w:i/>
          <w:color w:val="1F497D" w:themeColor="text2"/>
          <w:sz w:val="23"/>
          <w:szCs w:val="23"/>
        </w:rPr>
        <w:t xml:space="preserve">reference </w:t>
      </w:r>
      <w:r w:rsidR="003153DF" w:rsidRPr="00924BBD">
        <w:rPr>
          <w:rFonts w:asciiTheme="minorHAnsi" w:hAnsiTheme="minorHAnsi" w:cstheme="minorHAnsi"/>
          <w:b/>
          <w:i/>
          <w:color w:val="1F497D" w:themeColor="text2"/>
          <w:sz w:val="23"/>
          <w:szCs w:val="23"/>
        </w:rPr>
        <w:t>10/1</w:t>
      </w:r>
      <w:r w:rsidR="007959E9" w:rsidRPr="00924BBD">
        <w:rPr>
          <w:rFonts w:asciiTheme="minorHAnsi" w:hAnsiTheme="minorHAnsi" w:cstheme="minorHAnsi"/>
          <w:b/>
          <w:i/>
          <w:color w:val="1F497D" w:themeColor="text2"/>
          <w:sz w:val="23"/>
          <w:szCs w:val="23"/>
        </w:rPr>
        <w:t>2</w:t>
      </w:r>
      <w:r w:rsidR="003153DF" w:rsidRPr="00924BBD">
        <w:rPr>
          <w:rFonts w:asciiTheme="minorHAnsi" w:hAnsiTheme="minorHAnsi" w:cstheme="minorHAnsi"/>
          <w:b/>
          <w:i/>
          <w:color w:val="1F497D" w:themeColor="text2"/>
          <w:sz w:val="23"/>
          <w:szCs w:val="23"/>
        </w:rPr>
        <w:t xml:space="preserve">, or </w:t>
      </w:r>
      <w:r w:rsidR="007959E9" w:rsidRPr="00924BBD">
        <w:rPr>
          <w:rFonts w:asciiTheme="minorHAnsi" w:hAnsiTheme="minorHAnsi" w:cstheme="minorHAnsi"/>
          <w:b/>
          <w:i/>
          <w:color w:val="1F497D" w:themeColor="text2"/>
          <w:sz w:val="23"/>
          <w:szCs w:val="23"/>
        </w:rPr>
        <w:t>83</w:t>
      </w:r>
      <w:r w:rsidR="003153DF" w:rsidRPr="00924BBD">
        <w:rPr>
          <w:rFonts w:asciiTheme="minorHAnsi" w:hAnsiTheme="minorHAnsi" w:cstheme="minorHAnsi"/>
          <w:b/>
          <w:i/>
          <w:color w:val="1F497D" w:themeColor="text2"/>
          <w:sz w:val="23"/>
          <w:szCs w:val="23"/>
        </w:rPr>
        <w:t>%, in straw poll)</w:t>
      </w:r>
    </w:p>
    <w:p w:rsidR="00D42D6A" w:rsidRPr="00924BBD" w:rsidRDefault="00D42D6A" w:rsidP="00D76774">
      <w:pPr>
        <w:rPr>
          <w:rFonts w:asciiTheme="minorHAnsi" w:hAnsiTheme="minorHAnsi" w:cstheme="minorHAnsi"/>
          <w:sz w:val="23"/>
          <w:szCs w:val="23"/>
        </w:rPr>
      </w:pPr>
      <w:r w:rsidRPr="00924BBD">
        <w:rPr>
          <w:rFonts w:asciiTheme="minorHAnsi" w:hAnsiTheme="minorHAnsi" w:cstheme="minorHAnsi"/>
          <w:sz w:val="23"/>
          <w:szCs w:val="23"/>
        </w:rPr>
        <w:t xml:space="preserve">States’ historic and justifiable responsibility for educational quality and protection of their </w:t>
      </w:r>
      <w:proofErr w:type="gramStart"/>
      <w:r w:rsidRPr="00924BBD">
        <w:rPr>
          <w:rFonts w:asciiTheme="minorHAnsi" w:hAnsiTheme="minorHAnsi" w:cstheme="minorHAnsi"/>
          <w:sz w:val="23"/>
          <w:szCs w:val="23"/>
        </w:rPr>
        <w:t>citizens,</w:t>
      </w:r>
      <w:proofErr w:type="gramEnd"/>
      <w:r w:rsidRPr="00924BBD">
        <w:rPr>
          <w:rFonts w:asciiTheme="minorHAnsi" w:hAnsiTheme="minorHAnsi" w:cstheme="minorHAnsi"/>
          <w:sz w:val="23"/>
          <w:szCs w:val="23"/>
        </w:rPr>
        <w:t xml:space="preserve"> might </w:t>
      </w:r>
      <w:r w:rsidR="00B25604" w:rsidRPr="00924BBD">
        <w:rPr>
          <w:rFonts w:asciiTheme="minorHAnsi" w:hAnsiTheme="minorHAnsi" w:cstheme="minorHAnsi"/>
          <w:sz w:val="23"/>
          <w:szCs w:val="23"/>
        </w:rPr>
        <w:t xml:space="preserve">well </w:t>
      </w:r>
      <w:r w:rsidRPr="00924BBD">
        <w:rPr>
          <w:rFonts w:asciiTheme="minorHAnsi" w:hAnsiTheme="minorHAnsi" w:cstheme="minorHAnsi"/>
          <w:sz w:val="23"/>
          <w:szCs w:val="23"/>
        </w:rPr>
        <w:t xml:space="preserve">be promoted through focused state attention to </w:t>
      </w:r>
      <w:r w:rsidR="00B25604" w:rsidRPr="00924BBD">
        <w:rPr>
          <w:rFonts w:asciiTheme="minorHAnsi" w:hAnsiTheme="minorHAnsi" w:cstheme="minorHAnsi"/>
          <w:sz w:val="23"/>
          <w:szCs w:val="23"/>
        </w:rPr>
        <w:t xml:space="preserve">their </w:t>
      </w:r>
      <w:r w:rsidRPr="00924BBD">
        <w:rPr>
          <w:rFonts w:asciiTheme="minorHAnsi" w:hAnsiTheme="minorHAnsi" w:cstheme="minorHAnsi"/>
          <w:sz w:val="23"/>
          <w:szCs w:val="23"/>
        </w:rPr>
        <w:t>areas of traditional expertise</w:t>
      </w:r>
      <w:r w:rsidR="00B25604" w:rsidRPr="00924BBD">
        <w:rPr>
          <w:rFonts w:asciiTheme="minorHAnsi" w:hAnsiTheme="minorHAnsi" w:cstheme="minorHAnsi"/>
          <w:sz w:val="23"/>
          <w:szCs w:val="23"/>
        </w:rPr>
        <w:t>, especially</w:t>
      </w:r>
      <w:r w:rsidRPr="00924BBD">
        <w:rPr>
          <w:rFonts w:asciiTheme="minorHAnsi" w:hAnsiTheme="minorHAnsi" w:cstheme="minorHAnsi"/>
          <w:sz w:val="23"/>
          <w:szCs w:val="23"/>
        </w:rPr>
        <w:t xml:space="preserve"> consumer protection and pursuit of fraud and misleading commercial promotion. </w:t>
      </w:r>
      <w:r w:rsidR="00D76774" w:rsidRPr="00924BBD">
        <w:rPr>
          <w:rFonts w:asciiTheme="minorHAnsi" w:hAnsiTheme="minorHAnsi" w:cstheme="minorHAnsi"/>
          <w:sz w:val="23"/>
          <w:szCs w:val="23"/>
        </w:rPr>
        <w:t xml:space="preserve"> </w:t>
      </w:r>
      <w:r w:rsidRPr="00924BBD">
        <w:rPr>
          <w:rFonts w:asciiTheme="minorHAnsi" w:hAnsiTheme="minorHAnsi" w:cstheme="minorHAnsi"/>
          <w:sz w:val="23"/>
          <w:szCs w:val="23"/>
        </w:rPr>
        <w:t>At the same time, the presumption</w:t>
      </w:r>
      <w:r w:rsidR="00D76774" w:rsidRPr="00924BBD">
        <w:rPr>
          <w:rFonts w:asciiTheme="minorHAnsi" w:hAnsiTheme="minorHAnsi" w:cstheme="minorHAnsi"/>
          <w:sz w:val="23"/>
          <w:szCs w:val="23"/>
        </w:rPr>
        <w:t xml:space="preserve"> </w:t>
      </w:r>
      <w:r w:rsidR="00133D0E" w:rsidRPr="00924BBD">
        <w:rPr>
          <w:rFonts w:asciiTheme="minorHAnsi" w:hAnsiTheme="minorHAnsi" w:cstheme="minorHAnsi"/>
          <w:sz w:val="23"/>
          <w:szCs w:val="23"/>
        </w:rPr>
        <w:t xml:space="preserve">that </w:t>
      </w:r>
      <w:r w:rsidR="00D76774" w:rsidRPr="00924BBD">
        <w:rPr>
          <w:rFonts w:asciiTheme="minorHAnsi" w:hAnsiTheme="minorHAnsi" w:cstheme="minorHAnsi"/>
          <w:sz w:val="23"/>
          <w:szCs w:val="23"/>
        </w:rPr>
        <w:t xml:space="preserve">state boundaries define </w:t>
      </w:r>
      <w:r w:rsidRPr="00924BBD">
        <w:rPr>
          <w:rFonts w:asciiTheme="minorHAnsi" w:hAnsiTheme="minorHAnsi" w:cstheme="minorHAnsi"/>
          <w:sz w:val="23"/>
          <w:szCs w:val="23"/>
        </w:rPr>
        <w:t xml:space="preserve">the delivery and oversight of </w:t>
      </w:r>
      <w:r w:rsidR="00D76774" w:rsidRPr="00924BBD">
        <w:rPr>
          <w:rFonts w:asciiTheme="minorHAnsi" w:hAnsiTheme="minorHAnsi" w:cstheme="minorHAnsi"/>
          <w:sz w:val="23"/>
          <w:szCs w:val="23"/>
        </w:rPr>
        <w:t xml:space="preserve">education may in some respects </w:t>
      </w:r>
      <w:r w:rsidRPr="00924BBD">
        <w:rPr>
          <w:rFonts w:asciiTheme="minorHAnsi" w:hAnsiTheme="minorHAnsi" w:cstheme="minorHAnsi"/>
          <w:sz w:val="23"/>
          <w:szCs w:val="23"/>
        </w:rPr>
        <w:t>be inconsistent with the newer methods of education that are not tied to land boundaries</w:t>
      </w:r>
      <w:r w:rsidR="00133D0E" w:rsidRPr="00924BBD">
        <w:rPr>
          <w:rFonts w:asciiTheme="minorHAnsi" w:hAnsiTheme="minorHAnsi" w:cstheme="minorHAnsi"/>
          <w:sz w:val="23"/>
          <w:szCs w:val="23"/>
        </w:rPr>
        <w:t xml:space="preserve">, and the </w:t>
      </w:r>
      <w:r w:rsidRPr="00924BBD">
        <w:rPr>
          <w:rFonts w:asciiTheme="minorHAnsi" w:hAnsiTheme="minorHAnsi" w:cstheme="minorHAnsi"/>
          <w:sz w:val="23"/>
          <w:szCs w:val="23"/>
        </w:rPr>
        <w:t xml:space="preserve">multiplicity and inconsistency of state regulation may hamper </w:t>
      </w:r>
      <w:r w:rsidR="00B25604" w:rsidRPr="00924BBD">
        <w:rPr>
          <w:rFonts w:asciiTheme="minorHAnsi" w:hAnsiTheme="minorHAnsi" w:cstheme="minorHAnsi"/>
          <w:sz w:val="23"/>
          <w:szCs w:val="23"/>
        </w:rPr>
        <w:t xml:space="preserve">both effective application of quality standards and </w:t>
      </w:r>
      <w:r w:rsidRPr="00924BBD">
        <w:rPr>
          <w:rFonts w:asciiTheme="minorHAnsi" w:hAnsiTheme="minorHAnsi" w:cstheme="minorHAnsi"/>
          <w:sz w:val="23"/>
          <w:szCs w:val="23"/>
        </w:rPr>
        <w:t xml:space="preserve">educational diversity and innovation.  </w:t>
      </w:r>
      <w:r w:rsidR="00CE352F" w:rsidRPr="00924BBD">
        <w:rPr>
          <w:rFonts w:asciiTheme="minorHAnsi" w:hAnsiTheme="minorHAnsi" w:cstheme="minorHAnsi"/>
          <w:sz w:val="23"/>
          <w:szCs w:val="23"/>
        </w:rPr>
        <w:t>Our recommendations in this regard include:</w:t>
      </w:r>
    </w:p>
    <w:p w:rsidR="00D42D6A" w:rsidRPr="00924BBD" w:rsidRDefault="00D42D6A" w:rsidP="00D76774">
      <w:pPr>
        <w:pStyle w:val="ListParagraph"/>
        <w:numPr>
          <w:ilvl w:val="0"/>
          <w:numId w:val="9"/>
        </w:numPr>
        <w:rPr>
          <w:rFonts w:asciiTheme="minorHAnsi" w:hAnsiTheme="minorHAnsi" w:cstheme="minorHAnsi"/>
          <w:sz w:val="23"/>
          <w:szCs w:val="23"/>
        </w:rPr>
      </w:pPr>
      <w:r w:rsidRPr="00924BBD">
        <w:rPr>
          <w:rFonts w:asciiTheme="minorHAnsi" w:hAnsiTheme="minorHAnsi" w:cstheme="minorHAnsi"/>
          <w:sz w:val="23"/>
          <w:szCs w:val="23"/>
        </w:rPr>
        <w:t xml:space="preserve">Evaluate </w:t>
      </w:r>
      <w:r w:rsidR="00B25604" w:rsidRPr="00924BBD">
        <w:rPr>
          <w:rFonts w:asciiTheme="minorHAnsi" w:hAnsiTheme="minorHAnsi" w:cstheme="minorHAnsi"/>
          <w:sz w:val="23"/>
          <w:szCs w:val="23"/>
        </w:rPr>
        <w:t>whether</w:t>
      </w:r>
      <w:r w:rsidRPr="00924BBD">
        <w:rPr>
          <w:rFonts w:asciiTheme="minorHAnsi" w:hAnsiTheme="minorHAnsi" w:cstheme="minorHAnsi"/>
          <w:sz w:val="23"/>
          <w:szCs w:val="23"/>
        </w:rPr>
        <w:t xml:space="preserve"> </w:t>
      </w:r>
      <w:r w:rsidR="00133D0E" w:rsidRPr="00924BBD">
        <w:rPr>
          <w:rFonts w:asciiTheme="minorHAnsi" w:hAnsiTheme="minorHAnsi" w:cstheme="minorHAnsi"/>
          <w:sz w:val="23"/>
          <w:szCs w:val="23"/>
        </w:rPr>
        <w:t xml:space="preserve">the diversity of </w:t>
      </w:r>
      <w:r w:rsidRPr="00924BBD">
        <w:rPr>
          <w:rFonts w:asciiTheme="minorHAnsi" w:hAnsiTheme="minorHAnsi" w:cstheme="minorHAnsi"/>
          <w:sz w:val="23"/>
          <w:szCs w:val="23"/>
        </w:rPr>
        <w:t>state regulation across the country might be shaped to incorporate recognition of the growth of cross-state (and, indeed, cross-nation) educational activity.</w:t>
      </w:r>
      <w:r w:rsidR="00FA275C" w:rsidRPr="00924BBD">
        <w:rPr>
          <w:rFonts w:asciiTheme="minorHAnsi" w:hAnsiTheme="minorHAnsi" w:cstheme="minorHAnsi"/>
          <w:sz w:val="23"/>
          <w:szCs w:val="23"/>
        </w:rPr>
        <w:t xml:space="preserve"> </w:t>
      </w:r>
      <w:r w:rsidR="00FA275C" w:rsidRPr="00924BBD">
        <w:rPr>
          <w:rFonts w:asciiTheme="minorHAnsi" w:hAnsiTheme="minorHAnsi" w:cstheme="minorHAnsi"/>
          <w:b/>
          <w:i/>
          <w:color w:val="1F497D" w:themeColor="text2"/>
          <w:sz w:val="23"/>
          <w:szCs w:val="23"/>
        </w:rPr>
        <w:t>(</w:t>
      </w:r>
      <w:r w:rsidR="00133D0E" w:rsidRPr="00924BBD">
        <w:rPr>
          <w:rFonts w:asciiTheme="minorHAnsi" w:hAnsiTheme="minorHAnsi" w:cstheme="minorHAnsi"/>
          <w:b/>
          <w:i/>
          <w:color w:val="1F497D" w:themeColor="text2"/>
          <w:sz w:val="23"/>
          <w:szCs w:val="23"/>
        </w:rPr>
        <w:t xml:space="preserve">modified version of </w:t>
      </w:r>
      <w:r w:rsidR="00D76774" w:rsidRPr="00924BBD">
        <w:rPr>
          <w:rFonts w:asciiTheme="minorHAnsi" w:hAnsiTheme="minorHAnsi" w:cstheme="minorHAnsi"/>
          <w:b/>
          <w:i/>
          <w:color w:val="1F497D" w:themeColor="text2"/>
          <w:sz w:val="23"/>
          <w:szCs w:val="23"/>
        </w:rPr>
        <w:t>formerly “option 6” --</w:t>
      </w:r>
      <w:r w:rsidR="00FA275C" w:rsidRPr="00924BBD">
        <w:rPr>
          <w:rFonts w:asciiTheme="minorHAnsi" w:hAnsiTheme="minorHAnsi" w:cstheme="minorHAnsi"/>
          <w:b/>
          <w:i/>
          <w:color w:val="1F497D" w:themeColor="text2"/>
          <w:sz w:val="23"/>
          <w:szCs w:val="23"/>
        </w:rPr>
        <w:t xml:space="preserve">reference </w:t>
      </w:r>
      <w:r w:rsidR="00D76774" w:rsidRPr="00924BBD">
        <w:rPr>
          <w:rFonts w:asciiTheme="minorHAnsi" w:hAnsiTheme="minorHAnsi" w:cstheme="minorHAnsi"/>
          <w:b/>
          <w:i/>
          <w:color w:val="1F497D" w:themeColor="text2"/>
          <w:sz w:val="23"/>
          <w:szCs w:val="23"/>
        </w:rPr>
        <w:t>10/</w:t>
      </w:r>
      <w:r w:rsidR="007959E9" w:rsidRPr="00924BBD">
        <w:rPr>
          <w:rFonts w:asciiTheme="minorHAnsi" w:hAnsiTheme="minorHAnsi" w:cstheme="minorHAnsi"/>
          <w:b/>
          <w:i/>
          <w:color w:val="1F497D" w:themeColor="text2"/>
          <w:sz w:val="23"/>
          <w:szCs w:val="23"/>
        </w:rPr>
        <w:t>12</w:t>
      </w:r>
      <w:r w:rsidR="00FA275C" w:rsidRPr="00924BBD">
        <w:rPr>
          <w:rFonts w:asciiTheme="minorHAnsi" w:hAnsiTheme="minorHAnsi" w:cstheme="minorHAnsi"/>
          <w:b/>
          <w:i/>
          <w:color w:val="1F497D" w:themeColor="text2"/>
          <w:sz w:val="23"/>
          <w:szCs w:val="23"/>
        </w:rPr>
        <w:t xml:space="preserve"> or </w:t>
      </w:r>
      <w:r w:rsidR="007959E9" w:rsidRPr="00924BBD">
        <w:rPr>
          <w:rFonts w:asciiTheme="minorHAnsi" w:hAnsiTheme="minorHAnsi" w:cstheme="minorHAnsi"/>
          <w:b/>
          <w:i/>
          <w:color w:val="1F497D" w:themeColor="text2"/>
          <w:sz w:val="23"/>
          <w:szCs w:val="23"/>
        </w:rPr>
        <w:t>83</w:t>
      </w:r>
      <w:r w:rsidR="00FA275C" w:rsidRPr="00924BBD">
        <w:rPr>
          <w:rFonts w:asciiTheme="minorHAnsi" w:hAnsiTheme="minorHAnsi" w:cstheme="minorHAnsi"/>
          <w:b/>
          <w:i/>
          <w:color w:val="1F497D" w:themeColor="text2"/>
          <w:sz w:val="23"/>
          <w:szCs w:val="23"/>
        </w:rPr>
        <w:t>%, in straw poll)</w:t>
      </w:r>
    </w:p>
    <w:p w:rsidR="00D42D6A" w:rsidRPr="00924BBD" w:rsidRDefault="00D76774" w:rsidP="00D76774">
      <w:pPr>
        <w:pStyle w:val="ListParagraph"/>
        <w:numPr>
          <w:ilvl w:val="0"/>
          <w:numId w:val="9"/>
        </w:numPr>
        <w:rPr>
          <w:rFonts w:asciiTheme="minorHAnsi" w:hAnsiTheme="minorHAnsi" w:cstheme="minorHAnsi"/>
          <w:sz w:val="23"/>
          <w:szCs w:val="23"/>
        </w:rPr>
      </w:pPr>
      <w:r w:rsidRPr="00924BBD">
        <w:rPr>
          <w:rFonts w:asciiTheme="minorHAnsi" w:hAnsiTheme="minorHAnsi" w:cstheme="minorHAnsi"/>
          <w:sz w:val="23"/>
          <w:szCs w:val="23"/>
        </w:rPr>
        <w:t>Encourage s</w:t>
      </w:r>
      <w:r w:rsidR="00D42D6A" w:rsidRPr="00924BBD">
        <w:rPr>
          <w:rFonts w:asciiTheme="minorHAnsi" w:hAnsiTheme="minorHAnsi" w:cstheme="minorHAnsi"/>
          <w:sz w:val="23"/>
          <w:szCs w:val="23"/>
        </w:rPr>
        <w:t xml:space="preserve">tate effort </w:t>
      </w:r>
      <w:r w:rsidR="00570D8F" w:rsidRPr="00924BBD">
        <w:rPr>
          <w:rFonts w:asciiTheme="minorHAnsi" w:hAnsiTheme="minorHAnsi" w:cstheme="minorHAnsi"/>
          <w:sz w:val="23"/>
          <w:szCs w:val="23"/>
        </w:rPr>
        <w:t>to</w:t>
      </w:r>
      <w:r w:rsidR="00D42D6A" w:rsidRPr="00924BBD">
        <w:rPr>
          <w:rFonts w:asciiTheme="minorHAnsi" w:hAnsiTheme="minorHAnsi" w:cstheme="minorHAnsi"/>
          <w:sz w:val="23"/>
          <w:szCs w:val="23"/>
        </w:rPr>
        <w:t xml:space="preserve"> assur</w:t>
      </w:r>
      <w:r w:rsidR="00570D8F" w:rsidRPr="00924BBD">
        <w:rPr>
          <w:rFonts w:asciiTheme="minorHAnsi" w:hAnsiTheme="minorHAnsi" w:cstheme="minorHAnsi"/>
          <w:sz w:val="23"/>
          <w:szCs w:val="23"/>
        </w:rPr>
        <w:t>e</w:t>
      </w:r>
      <w:r w:rsidR="00D42D6A" w:rsidRPr="00924BBD">
        <w:rPr>
          <w:rFonts w:asciiTheme="minorHAnsi" w:hAnsiTheme="minorHAnsi" w:cstheme="minorHAnsi"/>
          <w:sz w:val="23"/>
          <w:szCs w:val="23"/>
        </w:rPr>
        <w:t xml:space="preserve"> the adequacy of consumer information and</w:t>
      </w:r>
      <w:r w:rsidR="00570D8F" w:rsidRPr="00924BBD">
        <w:rPr>
          <w:rFonts w:asciiTheme="minorHAnsi" w:hAnsiTheme="minorHAnsi" w:cstheme="minorHAnsi"/>
          <w:sz w:val="23"/>
          <w:szCs w:val="23"/>
        </w:rPr>
        <w:t xml:space="preserve"> </w:t>
      </w:r>
      <w:r w:rsidR="00D42D6A" w:rsidRPr="00924BBD">
        <w:rPr>
          <w:rFonts w:asciiTheme="minorHAnsi" w:hAnsiTheme="minorHAnsi" w:cstheme="minorHAnsi"/>
          <w:sz w:val="23"/>
          <w:szCs w:val="23"/>
        </w:rPr>
        <w:t>the accountability of institutions and programs providing education within the state.</w:t>
      </w:r>
      <w:r w:rsidRPr="00924BBD">
        <w:rPr>
          <w:rFonts w:asciiTheme="minorHAnsi" w:hAnsiTheme="minorHAnsi" w:cstheme="minorHAnsi"/>
          <w:sz w:val="23"/>
          <w:szCs w:val="23"/>
        </w:rPr>
        <w:t xml:space="preserve">  </w:t>
      </w:r>
      <w:r w:rsidR="005F014B" w:rsidRPr="00924BBD">
        <w:rPr>
          <w:rFonts w:asciiTheme="minorHAnsi" w:hAnsiTheme="minorHAnsi" w:cstheme="minorHAnsi"/>
          <w:sz w:val="23"/>
          <w:szCs w:val="23"/>
        </w:rPr>
        <w:t>State experiences and “best practices”</w:t>
      </w:r>
      <w:r w:rsidR="003D1931" w:rsidRPr="00924BBD">
        <w:rPr>
          <w:rFonts w:asciiTheme="minorHAnsi" w:hAnsiTheme="minorHAnsi" w:cstheme="minorHAnsi"/>
          <w:sz w:val="23"/>
          <w:szCs w:val="23"/>
        </w:rPr>
        <w:t xml:space="preserve"> </w:t>
      </w:r>
      <w:r w:rsidRPr="00924BBD">
        <w:rPr>
          <w:rFonts w:asciiTheme="minorHAnsi" w:hAnsiTheme="minorHAnsi" w:cstheme="minorHAnsi"/>
          <w:sz w:val="23"/>
          <w:szCs w:val="23"/>
        </w:rPr>
        <w:t xml:space="preserve">would be </w:t>
      </w:r>
      <w:r w:rsidR="003F2291" w:rsidRPr="00924BBD">
        <w:rPr>
          <w:rFonts w:asciiTheme="minorHAnsi" w:hAnsiTheme="minorHAnsi" w:cstheme="minorHAnsi"/>
          <w:sz w:val="23"/>
          <w:szCs w:val="23"/>
        </w:rPr>
        <w:t xml:space="preserve">a </w:t>
      </w:r>
      <w:r w:rsidRPr="00924BBD">
        <w:rPr>
          <w:rFonts w:asciiTheme="minorHAnsi" w:hAnsiTheme="minorHAnsi" w:cstheme="minorHAnsi"/>
          <w:sz w:val="23"/>
          <w:szCs w:val="23"/>
        </w:rPr>
        <w:t>useful topic of conversation in a federally-convened process</w:t>
      </w:r>
      <w:r w:rsidR="003F2291" w:rsidRPr="00924BBD">
        <w:rPr>
          <w:rFonts w:asciiTheme="minorHAnsi" w:hAnsiTheme="minorHAnsi" w:cstheme="minorHAnsi"/>
          <w:sz w:val="23"/>
          <w:szCs w:val="23"/>
        </w:rPr>
        <w:t>, as would the development of a common understanding of a minimum level of consumer protection</w:t>
      </w:r>
      <w:r w:rsidRPr="00924BBD">
        <w:rPr>
          <w:rFonts w:asciiTheme="minorHAnsi" w:hAnsiTheme="minorHAnsi" w:cstheme="minorHAnsi"/>
          <w:sz w:val="23"/>
          <w:szCs w:val="23"/>
        </w:rPr>
        <w:t xml:space="preserve">. </w:t>
      </w:r>
      <w:r w:rsidR="00D42D6A" w:rsidRPr="00924BBD">
        <w:rPr>
          <w:rFonts w:asciiTheme="minorHAnsi" w:hAnsiTheme="minorHAnsi" w:cstheme="minorHAnsi"/>
          <w:sz w:val="23"/>
          <w:szCs w:val="23"/>
        </w:rPr>
        <w:t xml:space="preserve"> </w:t>
      </w:r>
      <w:r w:rsidR="00FA275C" w:rsidRPr="00924BBD">
        <w:rPr>
          <w:rFonts w:asciiTheme="minorHAnsi" w:hAnsiTheme="minorHAnsi" w:cstheme="minorHAnsi"/>
          <w:b/>
          <w:i/>
          <w:color w:val="1F497D" w:themeColor="text2"/>
          <w:sz w:val="23"/>
          <w:szCs w:val="23"/>
        </w:rPr>
        <w:t>(</w:t>
      </w:r>
      <w:r w:rsidRPr="00924BBD">
        <w:rPr>
          <w:rFonts w:asciiTheme="minorHAnsi" w:hAnsiTheme="minorHAnsi" w:cstheme="minorHAnsi"/>
          <w:b/>
          <w:i/>
          <w:color w:val="1F497D" w:themeColor="text2"/>
          <w:sz w:val="23"/>
          <w:szCs w:val="23"/>
        </w:rPr>
        <w:t>an adaptation and extension of formerly “option 8”--</w:t>
      </w:r>
      <w:r w:rsidR="00FA275C" w:rsidRPr="00924BBD">
        <w:rPr>
          <w:rFonts w:asciiTheme="minorHAnsi" w:hAnsiTheme="minorHAnsi" w:cstheme="minorHAnsi"/>
          <w:b/>
          <w:i/>
          <w:color w:val="1F497D" w:themeColor="text2"/>
          <w:sz w:val="23"/>
          <w:szCs w:val="23"/>
        </w:rPr>
        <w:t xml:space="preserve">reference </w:t>
      </w:r>
      <w:r w:rsidRPr="00924BBD">
        <w:rPr>
          <w:rFonts w:asciiTheme="minorHAnsi" w:hAnsiTheme="minorHAnsi" w:cstheme="minorHAnsi"/>
          <w:b/>
          <w:i/>
          <w:color w:val="1F497D" w:themeColor="text2"/>
          <w:sz w:val="23"/>
          <w:szCs w:val="23"/>
        </w:rPr>
        <w:t>9/</w:t>
      </w:r>
      <w:r w:rsidR="007959E9" w:rsidRPr="00924BBD">
        <w:rPr>
          <w:rFonts w:asciiTheme="minorHAnsi" w:hAnsiTheme="minorHAnsi" w:cstheme="minorHAnsi"/>
          <w:b/>
          <w:i/>
          <w:color w:val="1F497D" w:themeColor="text2"/>
          <w:sz w:val="23"/>
          <w:szCs w:val="23"/>
        </w:rPr>
        <w:t>11</w:t>
      </w:r>
      <w:r w:rsidR="00FA275C" w:rsidRPr="00924BBD">
        <w:rPr>
          <w:rFonts w:asciiTheme="minorHAnsi" w:hAnsiTheme="minorHAnsi" w:cstheme="minorHAnsi"/>
          <w:b/>
          <w:i/>
          <w:color w:val="1F497D" w:themeColor="text2"/>
          <w:sz w:val="23"/>
          <w:szCs w:val="23"/>
        </w:rPr>
        <w:t xml:space="preserve">, or </w:t>
      </w:r>
      <w:r w:rsidR="007959E9" w:rsidRPr="00924BBD">
        <w:rPr>
          <w:rFonts w:asciiTheme="minorHAnsi" w:hAnsiTheme="minorHAnsi" w:cstheme="minorHAnsi"/>
          <w:b/>
          <w:i/>
          <w:color w:val="1F497D" w:themeColor="text2"/>
          <w:sz w:val="23"/>
          <w:szCs w:val="23"/>
        </w:rPr>
        <w:t>82</w:t>
      </w:r>
      <w:r w:rsidR="00FA275C" w:rsidRPr="00924BBD">
        <w:rPr>
          <w:rFonts w:asciiTheme="minorHAnsi" w:hAnsiTheme="minorHAnsi" w:cstheme="minorHAnsi"/>
          <w:b/>
          <w:i/>
          <w:color w:val="1F497D" w:themeColor="text2"/>
          <w:sz w:val="23"/>
          <w:szCs w:val="23"/>
        </w:rPr>
        <w:t>%, in straw poll)</w:t>
      </w:r>
    </w:p>
    <w:p w:rsidR="00D42D6A" w:rsidRPr="00924BBD" w:rsidRDefault="00D42D6A" w:rsidP="009361B0">
      <w:pPr>
        <w:rPr>
          <w:rFonts w:asciiTheme="minorHAnsi" w:hAnsiTheme="minorHAnsi" w:cstheme="minorHAnsi"/>
          <w:b/>
          <w:sz w:val="23"/>
          <w:szCs w:val="23"/>
          <w:u w:val="single"/>
        </w:rPr>
      </w:pPr>
      <w:r w:rsidRPr="00924BBD">
        <w:rPr>
          <w:rFonts w:asciiTheme="minorHAnsi" w:hAnsiTheme="minorHAnsi" w:cstheme="minorHAnsi"/>
          <w:b/>
          <w:sz w:val="23"/>
          <w:szCs w:val="23"/>
          <w:u w:val="single"/>
        </w:rPr>
        <w:t xml:space="preserve">The role and scope of accreditors </w:t>
      </w:r>
    </w:p>
    <w:p w:rsidR="00D42D6A" w:rsidRPr="00924BBD" w:rsidRDefault="005F014B" w:rsidP="006111D7">
      <w:pPr>
        <w:rPr>
          <w:rFonts w:asciiTheme="minorHAnsi" w:hAnsiTheme="minorHAnsi" w:cstheme="minorHAnsi"/>
          <w:sz w:val="23"/>
          <w:szCs w:val="23"/>
        </w:rPr>
      </w:pPr>
      <w:r w:rsidRPr="00924BBD">
        <w:rPr>
          <w:rFonts w:asciiTheme="minorHAnsi" w:hAnsiTheme="minorHAnsi" w:cstheme="minorHAnsi"/>
          <w:sz w:val="23"/>
          <w:szCs w:val="23"/>
        </w:rPr>
        <w:t>As</w:t>
      </w:r>
      <w:r w:rsidR="00D42D6A" w:rsidRPr="00924BBD">
        <w:rPr>
          <w:rFonts w:asciiTheme="minorHAnsi" w:hAnsiTheme="minorHAnsi" w:cstheme="minorHAnsi"/>
          <w:sz w:val="23"/>
          <w:szCs w:val="23"/>
        </w:rPr>
        <w:t xml:space="preserve"> accreditation agencies continue to play </w:t>
      </w:r>
      <w:r w:rsidR="00D7595B" w:rsidRPr="00924BBD">
        <w:rPr>
          <w:rFonts w:asciiTheme="minorHAnsi" w:hAnsiTheme="minorHAnsi" w:cstheme="minorHAnsi"/>
          <w:sz w:val="23"/>
          <w:szCs w:val="23"/>
        </w:rPr>
        <w:t xml:space="preserve">an essential </w:t>
      </w:r>
      <w:r w:rsidR="00D42D6A" w:rsidRPr="00924BBD">
        <w:rPr>
          <w:rFonts w:asciiTheme="minorHAnsi" w:hAnsiTheme="minorHAnsi" w:cstheme="minorHAnsi"/>
          <w:sz w:val="23"/>
          <w:szCs w:val="23"/>
        </w:rPr>
        <w:t xml:space="preserve">role in the determination of eligibility for Title IV funding, it </w:t>
      </w:r>
      <w:r w:rsidRPr="00924BBD">
        <w:rPr>
          <w:rFonts w:asciiTheme="minorHAnsi" w:hAnsiTheme="minorHAnsi" w:cstheme="minorHAnsi"/>
          <w:sz w:val="23"/>
          <w:szCs w:val="23"/>
        </w:rPr>
        <w:t>will</w:t>
      </w:r>
      <w:r w:rsidR="00D42D6A" w:rsidRPr="00924BBD">
        <w:rPr>
          <w:rFonts w:asciiTheme="minorHAnsi" w:hAnsiTheme="minorHAnsi" w:cstheme="minorHAnsi"/>
          <w:sz w:val="23"/>
          <w:szCs w:val="23"/>
        </w:rPr>
        <w:t xml:space="preserve"> be important to address the challenges that follow.  </w:t>
      </w:r>
      <w:r w:rsidRPr="00924BBD">
        <w:rPr>
          <w:rFonts w:asciiTheme="minorHAnsi" w:hAnsiTheme="minorHAnsi" w:cstheme="minorHAnsi"/>
          <w:sz w:val="23"/>
          <w:szCs w:val="23"/>
        </w:rPr>
        <w:t>A</w:t>
      </w:r>
      <w:r w:rsidR="00D42D6A" w:rsidRPr="00924BBD">
        <w:rPr>
          <w:rFonts w:asciiTheme="minorHAnsi" w:hAnsiTheme="minorHAnsi" w:cstheme="minorHAnsi"/>
          <w:sz w:val="23"/>
          <w:szCs w:val="23"/>
        </w:rPr>
        <w:t xml:space="preserve">ccreditors </w:t>
      </w:r>
      <w:r w:rsidR="002B7C61" w:rsidRPr="00924BBD">
        <w:rPr>
          <w:rFonts w:asciiTheme="minorHAnsi" w:hAnsiTheme="minorHAnsi" w:cstheme="minorHAnsi"/>
          <w:sz w:val="23"/>
          <w:szCs w:val="23"/>
        </w:rPr>
        <w:t xml:space="preserve">accept </w:t>
      </w:r>
      <w:r w:rsidR="00D42D6A" w:rsidRPr="00924BBD">
        <w:rPr>
          <w:rFonts w:asciiTheme="minorHAnsi" w:hAnsiTheme="minorHAnsi" w:cstheme="minorHAnsi"/>
          <w:sz w:val="23"/>
          <w:szCs w:val="23"/>
        </w:rPr>
        <w:t xml:space="preserve">the responsibility of demonstrating adequate rigor in accountability to assure that all accredited institutions meet reasonable standards of educational performance and that unacceptably weak </w:t>
      </w:r>
      <w:r w:rsidR="00D42D6A" w:rsidRPr="00924BBD">
        <w:rPr>
          <w:rFonts w:asciiTheme="minorHAnsi" w:hAnsiTheme="minorHAnsi" w:cstheme="minorHAnsi"/>
          <w:sz w:val="23"/>
          <w:szCs w:val="23"/>
        </w:rPr>
        <w:lastRenderedPageBreak/>
        <w:t xml:space="preserve">institutions are not eligible for student aid.  </w:t>
      </w:r>
      <w:r w:rsidR="002B7C61" w:rsidRPr="00924BBD">
        <w:rPr>
          <w:rFonts w:asciiTheme="minorHAnsi" w:hAnsiTheme="minorHAnsi" w:cstheme="minorHAnsi"/>
          <w:sz w:val="23"/>
          <w:szCs w:val="23"/>
        </w:rPr>
        <w:t>While t</w:t>
      </w:r>
      <w:r w:rsidR="00D42D6A" w:rsidRPr="00924BBD">
        <w:rPr>
          <w:rFonts w:asciiTheme="minorHAnsi" w:hAnsiTheme="minorHAnsi" w:cstheme="minorHAnsi"/>
          <w:sz w:val="23"/>
          <w:szCs w:val="23"/>
        </w:rPr>
        <w:t xml:space="preserve">he peer review </w:t>
      </w:r>
      <w:r w:rsidR="00D7595B" w:rsidRPr="00924BBD">
        <w:rPr>
          <w:rFonts w:asciiTheme="minorHAnsi" w:hAnsiTheme="minorHAnsi" w:cstheme="minorHAnsi"/>
          <w:sz w:val="23"/>
          <w:szCs w:val="23"/>
        </w:rPr>
        <w:t>nature</w:t>
      </w:r>
      <w:r w:rsidR="00D42D6A" w:rsidRPr="00924BBD">
        <w:rPr>
          <w:rFonts w:asciiTheme="minorHAnsi" w:hAnsiTheme="minorHAnsi" w:cstheme="minorHAnsi"/>
          <w:sz w:val="23"/>
          <w:szCs w:val="23"/>
        </w:rPr>
        <w:t xml:space="preserve"> of accreditation is well suited to the development and improvement process</w:t>
      </w:r>
      <w:r w:rsidR="002B7C61" w:rsidRPr="00924BBD">
        <w:rPr>
          <w:rFonts w:asciiTheme="minorHAnsi" w:hAnsiTheme="minorHAnsi" w:cstheme="minorHAnsi"/>
          <w:sz w:val="23"/>
          <w:szCs w:val="23"/>
        </w:rPr>
        <w:t xml:space="preserve">, </w:t>
      </w:r>
      <w:r w:rsidR="00D7595B" w:rsidRPr="00924BBD">
        <w:rPr>
          <w:rFonts w:asciiTheme="minorHAnsi" w:hAnsiTheme="minorHAnsi" w:cstheme="minorHAnsi"/>
          <w:sz w:val="23"/>
          <w:szCs w:val="23"/>
        </w:rPr>
        <w:t xml:space="preserve">accreditation </w:t>
      </w:r>
      <w:r w:rsidRPr="00924BBD">
        <w:rPr>
          <w:rFonts w:asciiTheme="minorHAnsi" w:hAnsiTheme="minorHAnsi" w:cstheme="minorHAnsi"/>
          <w:sz w:val="23"/>
          <w:szCs w:val="23"/>
        </w:rPr>
        <w:t>is also</w:t>
      </w:r>
      <w:r w:rsidR="00D7595B" w:rsidRPr="00924BBD">
        <w:rPr>
          <w:rFonts w:asciiTheme="minorHAnsi" w:hAnsiTheme="minorHAnsi" w:cstheme="minorHAnsi"/>
          <w:sz w:val="23"/>
          <w:szCs w:val="23"/>
        </w:rPr>
        <w:t xml:space="preserve"> in some ways</w:t>
      </w:r>
      <w:r w:rsidRPr="00924BBD">
        <w:rPr>
          <w:rFonts w:asciiTheme="minorHAnsi" w:hAnsiTheme="minorHAnsi" w:cstheme="minorHAnsi"/>
          <w:sz w:val="23"/>
          <w:szCs w:val="23"/>
        </w:rPr>
        <w:t xml:space="preserve"> challenged </w:t>
      </w:r>
      <w:r w:rsidR="00D7595B" w:rsidRPr="00924BBD">
        <w:rPr>
          <w:rFonts w:asciiTheme="minorHAnsi" w:hAnsiTheme="minorHAnsi" w:cstheme="minorHAnsi"/>
          <w:sz w:val="23"/>
          <w:szCs w:val="23"/>
        </w:rPr>
        <w:t xml:space="preserve">by the responsibilities of the </w:t>
      </w:r>
      <w:r w:rsidR="00D42D6A" w:rsidRPr="00924BBD">
        <w:rPr>
          <w:rFonts w:asciiTheme="minorHAnsi" w:hAnsiTheme="minorHAnsi" w:cstheme="minorHAnsi"/>
          <w:sz w:val="23"/>
          <w:szCs w:val="23"/>
        </w:rPr>
        <w:t xml:space="preserve">gate-keeping </w:t>
      </w:r>
      <w:r w:rsidRPr="00924BBD">
        <w:rPr>
          <w:rFonts w:asciiTheme="minorHAnsi" w:hAnsiTheme="minorHAnsi" w:cstheme="minorHAnsi"/>
          <w:sz w:val="23"/>
          <w:szCs w:val="23"/>
        </w:rPr>
        <w:t xml:space="preserve">or </w:t>
      </w:r>
      <w:r w:rsidR="00D42D6A" w:rsidRPr="00924BBD">
        <w:rPr>
          <w:rFonts w:asciiTheme="minorHAnsi" w:hAnsiTheme="minorHAnsi" w:cstheme="minorHAnsi"/>
          <w:sz w:val="23"/>
          <w:szCs w:val="23"/>
        </w:rPr>
        <w:t xml:space="preserve">policing </w:t>
      </w:r>
      <w:r w:rsidR="00D7595B" w:rsidRPr="00924BBD">
        <w:rPr>
          <w:rFonts w:asciiTheme="minorHAnsi" w:hAnsiTheme="minorHAnsi" w:cstheme="minorHAnsi"/>
          <w:sz w:val="23"/>
          <w:szCs w:val="23"/>
        </w:rPr>
        <w:t xml:space="preserve">aspects of its </w:t>
      </w:r>
      <w:r w:rsidR="00D42D6A" w:rsidRPr="00924BBD">
        <w:rPr>
          <w:rFonts w:asciiTheme="minorHAnsi" w:hAnsiTheme="minorHAnsi" w:cstheme="minorHAnsi"/>
          <w:sz w:val="23"/>
          <w:szCs w:val="23"/>
        </w:rPr>
        <w:t>function</w:t>
      </w:r>
      <w:r w:rsidR="008B083C" w:rsidRPr="00924BBD">
        <w:rPr>
          <w:rFonts w:asciiTheme="minorHAnsi" w:hAnsiTheme="minorHAnsi" w:cstheme="minorHAnsi"/>
          <w:sz w:val="23"/>
          <w:szCs w:val="23"/>
        </w:rPr>
        <w:t>s</w:t>
      </w:r>
      <w:r w:rsidRPr="00924BBD">
        <w:rPr>
          <w:rFonts w:asciiTheme="minorHAnsi" w:hAnsiTheme="minorHAnsi" w:cstheme="minorHAnsi"/>
          <w:sz w:val="23"/>
          <w:szCs w:val="23"/>
        </w:rPr>
        <w:t xml:space="preserve">.  </w:t>
      </w:r>
      <w:r w:rsidR="002B7C61" w:rsidRPr="00924BBD">
        <w:rPr>
          <w:rFonts w:asciiTheme="minorHAnsi" w:hAnsiTheme="minorHAnsi" w:cstheme="minorHAnsi"/>
          <w:sz w:val="23"/>
          <w:szCs w:val="23"/>
        </w:rPr>
        <w:t>Although accreditors stand prepared to carry out these gatekeeping functions and to manage the inherent tensions,</w:t>
      </w:r>
      <w:r w:rsidR="00D42D6A" w:rsidRPr="00924BBD">
        <w:rPr>
          <w:rFonts w:asciiTheme="minorHAnsi" w:hAnsiTheme="minorHAnsi" w:cstheme="minorHAnsi"/>
          <w:sz w:val="23"/>
          <w:szCs w:val="23"/>
        </w:rPr>
        <w:t xml:space="preserve"> the potential for risk and legal action </w:t>
      </w:r>
      <w:r w:rsidR="00D7595B" w:rsidRPr="00924BBD">
        <w:rPr>
          <w:rFonts w:asciiTheme="minorHAnsi" w:hAnsiTheme="minorHAnsi" w:cstheme="minorHAnsi"/>
          <w:sz w:val="23"/>
          <w:szCs w:val="23"/>
        </w:rPr>
        <w:t xml:space="preserve">associated with application of rigorous standards </w:t>
      </w:r>
      <w:r w:rsidR="00D42D6A" w:rsidRPr="00924BBD">
        <w:rPr>
          <w:rFonts w:asciiTheme="minorHAnsi" w:hAnsiTheme="minorHAnsi" w:cstheme="minorHAnsi"/>
          <w:sz w:val="23"/>
          <w:szCs w:val="23"/>
        </w:rPr>
        <w:t xml:space="preserve">may be greater than a single accreditor is prepared to sustain.  </w:t>
      </w:r>
      <w:r w:rsidR="003F2291" w:rsidRPr="00924BBD">
        <w:rPr>
          <w:rFonts w:asciiTheme="minorHAnsi" w:hAnsiTheme="minorHAnsi" w:cstheme="minorHAnsi"/>
          <w:sz w:val="23"/>
          <w:szCs w:val="23"/>
        </w:rPr>
        <w:t>Our</w:t>
      </w:r>
      <w:r w:rsidR="009A5AA2" w:rsidRPr="00924BBD">
        <w:rPr>
          <w:rFonts w:asciiTheme="minorHAnsi" w:hAnsiTheme="minorHAnsi" w:cstheme="minorHAnsi"/>
          <w:sz w:val="23"/>
          <w:szCs w:val="23"/>
        </w:rPr>
        <w:t xml:space="preserve"> recommendation</w:t>
      </w:r>
      <w:r w:rsidR="00CE352F" w:rsidRPr="00924BBD">
        <w:rPr>
          <w:rFonts w:asciiTheme="minorHAnsi" w:hAnsiTheme="minorHAnsi" w:cstheme="minorHAnsi"/>
          <w:sz w:val="23"/>
          <w:szCs w:val="23"/>
        </w:rPr>
        <w:t xml:space="preserve"> here i</w:t>
      </w:r>
      <w:r w:rsidR="009A5AA2" w:rsidRPr="00924BBD">
        <w:rPr>
          <w:rFonts w:asciiTheme="minorHAnsi" w:hAnsiTheme="minorHAnsi" w:cstheme="minorHAnsi"/>
          <w:sz w:val="23"/>
          <w:szCs w:val="23"/>
        </w:rPr>
        <w:t>s</w:t>
      </w:r>
      <w:r w:rsidR="00CE352F" w:rsidRPr="00924BBD">
        <w:rPr>
          <w:rFonts w:asciiTheme="minorHAnsi" w:hAnsiTheme="minorHAnsi" w:cstheme="minorHAnsi"/>
          <w:sz w:val="23"/>
          <w:szCs w:val="23"/>
        </w:rPr>
        <w:t>:</w:t>
      </w:r>
    </w:p>
    <w:p w:rsidR="0036737C" w:rsidRPr="00924BBD" w:rsidRDefault="008E629F" w:rsidP="006111D7">
      <w:pPr>
        <w:rPr>
          <w:rFonts w:asciiTheme="minorHAnsi" w:hAnsiTheme="minorHAnsi" w:cstheme="minorHAnsi"/>
          <w:b/>
          <w:i/>
          <w:color w:val="1F497D" w:themeColor="text2"/>
          <w:sz w:val="23"/>
          <w:szCs w:val="23"/>
        </w:rPr>
      </w:pPr>
      <w:r w:rsidRPr="00924BBD">
        <w:rPr>
          <w:rFonts w:asciiTheme="minorHAnsi" w:hAnsiTheme="minorHAnsi" w:cstheme="minorHAnsi"/>
          <w:sz w:val="23"/>
          <w:szCs w:val="23"/>
        </w:rPr>
        <w:t>Explore</w:t>
      </w:r>
      <w:r w:rsidR="00D42D6A" w:rsidRPr="00924BBD">
        <w:rPr>
          <w:rFonts w:asciiTheme="minorHAnsi" w:hAnsiTheme="minorHAnsi" w:cstheme="minorHAnsi"/>
          <w:sz w:val="23"/>
          <w:szCs w:val="23"/>
        </w:rPr>
        <w:t xml:space="preserve"> either assigning the more risky, litigation-prone elements of the gatekeeping function to a different quarter (e.g., a more independent entity or process created by accreditors collectively) or providing resources and/or indemnification to accreditors to reduce the legal risk and burden</w:t>
      </w:r>
      <w:r w:rsidR="00075E1A" w:rsidRPr="00924BBD">
        <w:rPr>
          <w:rFonts w:asciiTheme="minorHAnsi" w:hAnsiTheme="minorHAnsi" w:cstheme="minorHAnsi"/>
          <w:sz w:val="23"/>
          <w:szCs w:val="23"/>
        </w:rPr>
        <w:t xml:space="preserve"> (not from the Federal Government)</w:t>
      </w:r>
      <w:r w:rsidR="00D42D6A" w:rsidRPr="00924BBD">
        <w:rPr>
          <w:rFonts w:asciiTheme="minorHAnsi" w:hAnsiTheme="minorHAnsi" w:cstheme="minorHAnsi"/>
          <w:sz w:val="23"/>
          <w:szCs w:val="23"/>
        </w:rPr>
        <w:t xml:space="preserve">. </w:t>
      </w:r>
      <w:r w:rsidR="005F014B" w:rsidRPr="00924BBD">
        <w:rPr>
          <w:rFonts w:asciiTheme="minorHAnsi" w:hAnsiTheme="minorHAnsi" w:cstheme="minorHAnsi"/>
          <w:sz w:val="23"/>
          <w:szCs w:val="23"/>
        </w:rPr>
        <w:t xml:space="preserve"> This would extend beyond the provision for initial arbitration already in statute.  </w:t>
      </w:r>
      <w:r w:rsidR="00FA275C" w:rsidRPr="00924BBD">
        <w:rPr>
          <w:rFonts w:asciiTheme="minorHAnsi" w:hAnsiTheme="minorHAnsi" w:cstheme="minorHAnsi"/>
          <w:b/>
          <w:i/>
          <w:color w:val="1F497D" w:themeColor="text2"/>
          <w:sz w:val="23"/>
          <w:szCs w:val="23"/>
        </w:rPr>
        <w:t>(</w:t>
      </w:r>
      <w:proofErr w:type="gramStart"/>
      <w:r w:rsidR="005F014B" w:rsidRPr="00924BBD">
        <w:rPr>
          <w:rFonts w:asciiTheme="minorHAnsi" w:hAnsiTheme="minorHAnsi" w:cstheme="minorHAnsi"/>
          <w:b/>
          <w:i/>
          <w:color w:val="1F497D" w:themeColor="text2"/>
          <w:sz w:val="23"/>
          <w:szCs w:val="23"/>
        </w:rPr>
        <w:t>extended</w:t>
      </w:r>
      <w:proofErr w:type="gramEnd"/>
      <w:r w:rsidR="005F014B" w:rsidRPr="00924BBD">
        <w:rPr>
          <w:rFonts w:asciiTheme="minorHAnsi" w:hAnsiTheme="minorHAnsi" w:cstheme="minorHAnsi"/>
          <w:b/>
          <w:i/>
          <w:color w:val="1F497D" w:themeColor="text2"/>
          <w:sz w:val="23"/>
          <w:szCs w:val="23"/>
        </w:rPr>
        <w:t xml:space="preserve"> what was formerly “option 9”--</w:t>
      </w:r>
      <w:r w:rsidR="00FA275C" w:rsidRPr="00924BBD">
        <w:rPr>
          <w:rFonts w:asciiTheme="minorHAnsi" w:hAnsiTheme="minorHAnsi" w:cstheme="minorHAnsi"/>
          <w:b/>
          <w:i/>
          <w:color w:val="1F497D" w:themeColor="text2"/>
          <w:sz w:val="23"/>
          <w:szCs w:val="23"/>
        </w:rPr>
        <w:t xml:space="preserve">reference </w:t>
      </w:r>
      <w:r w:rsidR="005F014B" w:rsidRPr="00924BBD">
        <w:rPr>
          <w:rFonts w:asciiTheme="minorHAnsi" w:hAnsiTheme="minorHAnsi" w:cstheme="minorHAnsi"/>
          <w:b/>
          <w:i/>
          <w:color w:val="1F497D" w:themeColor="text2"/>
          <w:sz w:val="23"/>
          <w:szCs w:val="23"/>
        </w:rPr>
        <w:t>7/1</w:t>
      </w:r>
      <w:r w:rsidR="007959E9" w:rsidRPr="00924BBD">
        <w:rPr>
          <w:rFonts w:asciiTheme="minorHAnsi" w:hAnsiTheme="minorHAnsi" w:cstheme="minorHAnsi"/>
          <w:b/>
          <w:i/>
          <w:color w:val="1F497D" w:themeColor="text2"/>
          <w:sz w:val="23"/>
          <w:szCs w:val="23"/>
        </w:rPr>
        <w:t>2</w:t>
      </w:r>
      <w:r w:rsidR="00FA275C" w:rsidRPr="00924BBD">
        <w:rPr>
          <w:rFonts w:asciiTheme="minorHAnsi" w:hAnsiTheme="minorHAnsi" w:cstheme="minorHAnsi"/>
          <w:b/>
          <w:i/>
          <w:color w:val="1F497D" w:themeColor="text2"/>
          <w:sz w:val="23"/>
          <w:szCs w:val="23"/>
        </w:rPr>
        <w:t xml:space="preserve">, or </w:t>
      </w:r>
      <w:r w:rsidR="007959E9" w:rsidRPr="00924BBD">
        <w:rPr>
          <w:rFonts w:asciiTheme="minorHAnsi" w:hAnsiTheme="minorHAnsi" w:cstheme="minorHAnsi"/>
          <w:b/>
          <w:i/>
          <w:color w:val="1F497D" w:themeColor="text2"/>
          <w:sz w:val="23"/>
          <w:szCs w:val="23"/>
        </w:rPr>
        <w:t>58</w:t>
      </w:r>
      <w:r w:rsidR="00FA275C" w:rsidRPr="00924BBD">
        <w:rPr>
          <w:rFonts w:asciiTheme="minorHAnsi" w:hAnsiTheme="minorHAnsi" w:cstheme="minorHAnsi"/>
          <w:b/>
          <w:i/>
          <w:color w:val="1F497D" w:themeColor="text2"/>
          <w:sz w:val="23"/>
          <w:szCs w:val="23"/>
        </w:rPr>
        <w:t>%, in straw poll)</w:t>
      </w:r>
    </w:p>
    <w:p w:rsidR="00D42D6A" w:rsidRPr="00924BBD" w:rsidRDefault="00D42D6A" w:rsidP="006111D7">
      <w:pPr>
        <w:rPr>
          <w:rFonts w:asciiTheme="minorHAnsi" w:hAnsiTheme="minorHAnsi" w:cstheme="minorHAnsi"/>
          <w:sz w:val="23"/>
          <w:szCs w:val="23"/>
        </w:rPr>
      </w:pPr>
      <w:r w:rsidRPr="00924BBD">
        <w:rPr>
          <w:rFonts w:asciiTheme="minorHAnsi" w:hAnsiTheme="minorHAnsi" w:cstheme="minorHAnsi"/>
          <w:sz w:val="23"/>
          <w:szCs w:val="23"/>
        </w:rPr>
        <w:t xml:space="preserve">Just as the accreditation system </w:t>
      </w:r>
      <w:r w:rsidR="0036737C" w:rsidRPr="00924BBD">
        <w:rPr>
          <w:rFonts w:asciiTheme="minorHAnsi" w:hAnsiTheme="minorHAnsi" w:cstheme="minorHAnsi"/>
          <w:sz w:val="23"/>
          <w:szCs w:val="23"/>
        </w:rPr>
        <w:t xml:space="preserve">did </w:t>
      </w:r>
      <w:r w:rsidRPr="00924BBD">
        <w:rPr>
          <w:rFonts w:asciiTheme="minorHAnsi" w:hAnsiTheme="minorHAnsi" w:cstheme="minorHAnsi"/>
          <w:sz w:val="23"/>
          <w:szCs w:val="23"/>
        </w:rPr>
        <w:t xml:space="preserve">not originate with the intent to serve </w:t>
      </w:r>
      <w:r w:rsidR="008E629F" w:rsidRPr="00924BBD">
        <w:rPr>
          <w:rFonts w:asciiTheme="minorHAnsi" w:hAnsiTheme="minorHAnsi" w:cstheme="minorHAnsi"/>
          <w:sz w:val="23"/>
          <w:szCs w:val="23"/>
        </w:rPr>
        <w:t xml:space="preserve">federal student </w:t>
      </w:r>
      <w:r w:rsidRPr="00924BBD">
        <w:rPr>
          <w:rFonts w:asciiTheme="minorHAnsi" w:hAnsiTheme="minorHAnsi" w:cstheme="minorHAnsi"/>
          <w:sz w:val="23"/>
          <w:szCs w:val="23"/>
        </w:rPr>
        <w:t xml:space="preserve">aid eligibility functions, it also did not originate in the context of educational diversity and reach that exists today.  The regional foundations of </w:t>
      </w:r>
      <w:r w:rsidR="0036737C" w:rsidRPr="00924BBD">
        <w:rPr>
          <w:rFonts w:asciiTheme="minorHAnsi" w:hAnsiTheme="minorHAnsi" w:cstheme="minorHAnsi"/>
          <w:sz w:val="23"/>
          <w:szCs w:val="23"/>
        </w:rPr>
        <w:t xml:space="preserve">some </w:t>
      </w:r>
      <w:r w:rsidRPr="00924BBD">
        <w:rPr>
          <w:rFonts w:asciiTheme="minorHAnsi" w:hAnsiTheme="minorHAnsi" w:cstheme="minorHAnsi"/>
          <w:sz w:val="23"/>
          <w:szCs w:val="23"/>
        </w:rPr>
        <w:t>accreditor organization</w:t>
      </w:r>
      <w:r w:rsidR="008F37C6">
        <w:rPr>
          <w:rFonts w:asciiTheme="minorHAnsi" w:hAnsiTheme="minorHAnsi" w:cstheme="minorHAnsi"/>
          <w:sz w:val="23"/>
          <w:szCs w:val="23"/>
        </w:rPr>
        <w:t>s</w:t>
      </w:r>
      <w:r w:rsidRPr="00924BBD">
        <w:rPr>
          <w:rFonts w:asciiTheme="minorHAnsi" w:hAnsiTheme="minorHAnsi" w:cstheme="minorHAnsi"/>
          <w:sz w:val="23"/>
          <w:szCs w:val="23"/>
        </w:rPr>
        <w:t xml:space="preserve"> may be due for re-assessment </w:t>
      </w:r>
      <w:r w:rsidR="0036737C" w:rsidRPr="00924BBD">
        <w:rPr>
          <w:rFonts w:asciiTheme="minorHAnsi" w:hAnsiTheme="minorHAnsi" w:cstheme="minorHAnsi"/>
          <w:sz w:val="23"/>
          <w:szCs w:val="23"/>
        </w:rPr>
        <w:t xml:space="preserve">by those entities </w:t>
      </w:r>
      <w:r w:rsidRPr="00924BBD">
        <w:rPr>
          <w:rFonts w:asciiTheme="minorHAnsi" w:hAnsiTheme="minorHAnsi" w:cstheme="minorHAnsi"/>
          <w:sz w:val="23"/>
          <w:szCs w:val="23"/>
        </w:rPr>
        <w:t xml:space="preserve">as the diversity of educational activities and missions have expanded within a region, and as educational activity and mission increasingly span regional </w:t>
      </w:r>
      <w:r w:rsidR="00102AA4" w:rsidRPr="00924BBD">
        <w:rPr>
          <w:rFonts w:asciiTheme="minorHAnsi" w:hAnsiTheme="minorHAnsi" w:cstheme="minorHAnsi"/>
          <w:sz w:val="23"/>
          <w:szCs w:val="23"/>
        </w:rPr>
        <w:t xml:space="preserve">and national </w:t>
      </w:r>
      <w:r w:rsidRPr="00924BBD">
        <w:rPr>
          <w:rFonts w:asciiTheme="minorHAnsi" w:hAnsiTheme="minorHAnsi" w:cstheme="minorHAnsi"/>
          <w:sz w:val="23"/>
          <w:szCs w:val="23"/>
        </w:rPr>
        <w:t xml:space="preserve">boundaries. </w:t>
      </w:r>
    </w:p>
    <w:p w:rsidR="00D42D6A" w:rsidRPr="00924BBD" w:rsidRDefault="00D42D6A" w:rsidP="006111D7">
      <w:pPr>
        <w:rPr>
          <w:rFonts w:asciiTheme="minorHAnsi" w:hAnsiTheme="minorHAnsi" w:cstheme="minorHAnsi"/>
          <w:sz w:val="23"/>
          <w:szCs w:val="23"/>
        </w:rPr>
      </w:pPr>
      <w:r w:rsidRPr="00924BBD">
        <w:rPr>
          <w:rFonts w:asciiTheme="minorHAnsi" w:hAnsiTheme="minorHAnsi" w:cstheme="minorHAnsi"/>
          <w:sz w:val="23"/>
          <w:szCs w:val="23"/>
        </w:rPr>
        <w:t xml:space="preserve">Of note is that the regional commissions have </w:t>
      </w:r>
      <w:proofErr w:type="gramStart"/>
      <w:r w:rsidRPr="00924BBD">
        <w:rPr>
          <w:rFonts w:asciiTheme="minorHAnsi" w:hAnsiTheme="minorHAnsi" w:cstheme="minorHAnsi"/>
          <w:sz w:val="23"/>
          <w:szCs w:val="23"/>
        </w:rPr>
        <w:t>accredited,</w:t>
      </w:r>
      <w:proofErr w:type="gramEnd"/>
      <w:r w:rsidRPr="00924BBD">
        <w:rPr>
          <w:rFonts w:asciiTheme="minorHAnsi" w:hAnsiTheme="minorHAnsi" w:cstheme="minorHAnsi"/>
          <w:sz w:val="23"/>
          <w:szCs w:val="23"/>
        </w:rPr>
        <w:t xml:space="preserve"> under one tent, research universities, state colleges, liberal arts institutions, community colleges, and special purpose institutions.  This system keeps these very different institutions accountable to a single set of standards within each region, promoting mobility for transfer students, and students seeking a higher degree, as well as reasonable consistency </w:t>
      </w:r>
      <w:r w:rsidR="00CE352F" w:rsidRPr="00924BBD">
        <w:rPr>
          <w:rFonts w:asciiTheme="minorHAnsi" w:hAnsiTheme="minorHAnsi" w:cstheme="minorHAnsi"/>
          <w:sz w:val="23"/>
          <w:szCs w:val="23"/>
        </w:rPr>
        <w:t>for the various deg</w:t>
      </w:r>
      <w:r w:rsidR="002F2507" w:rsidRPr="00924BBD">
        <w:rPr>
          <w:rFonts w:asciiTheme="minorHAnsi" w:hAnsiTheme="minorHAnsi" w:cstheme="minorHAnsi"/>
          <w:sz w:val="23"/>
          <w:szCs w:val="23"/>
        </w:rPr>
        <w:t>ree levels.  Our recommendation</w:t>
      </w:r>
      <w:r w:rsidR="00CE352F" w:rsidRPr="00924BBD">
        <w:rPr>
          <w:rFonts w:asciiTheme="minorHAnsi" w:hAnsiTheme="minorHAnsi" w:cstheme="minorHAnsi"/>
          <w:sz w:val="23"/>
          <w:szCs w:val="23"/>
        </w:rPr>
        <w:t xml:space="preserve"> in this regard include</w:t>
      </w:r>
      <w:r w:rsidR="002F2507" w:rsidRPr="00924BBD">
        <w:rPr>
          <w:rFonts w:asciiTheme="minorHAnsi" w:hAnsiTheme="minorHAnsi" w:cstheme="minorHAnsi"/>
          <w:sz w:val="23"/>
          <w:szCs w:val="23"/>
        </w:rPr>
        <w:t>s</w:t>
      </w:r>
      <w:r w:rsidR="00CE352F" w:rsidRPr="00924BBD">
        <w:rPr>
          <w:rFonts w:asciiTheme="minorHAnsi" w:hAnsiTheme="minorHAnsi" w:cstheme="minorHAnsi"/>
          <w:sz w:val="23"/>
          <w:szCs w:val="23"/>
        </w:rPr>
        <w:t>:</w:t>
      </w:r>
    </w:p>
    <w:p w:rsidR="00D42D6A" w:rsidRPr="00924BBD" w:rsidRDefault="002836C5" w:rsidP="002836C5">
      <w:pPr>
        <w:pStyle w:val="ListParagraph"/>
        <w:numPr>
          <w:ilvl w:val="0"/>
          <w:numId w:val="9"/>
        </w:numPr>
        <w:rPr>
          <w:rFonts w:asciiTheme="minorHAnsi" w:hAnsiTheme="minorHAnsi" w:cstheme="minorHAnsi"/>
          <w:sz w:val="23"/>
          <w:szCs w:val="23"/>
        </w:rPr>
      </w:pPr>
      <w:r w:rsidRPr="00924BBD">
        <w:rPr>
          <w:rFonts w:asciiTheme="minorHAnsi" w:hAnsiTheme="minorHAnsi" w:cstheme="minorHAnsi"/>
          <w:sz w:val="23"/>
          <w:szCs w:val="23"/>
        </w:rPr>
        <w:t xml:space="preserve">Encourage a dialogue within the accreditation community about the structure and organization of the accreditation enterprise.  </w:t>
      </w:r>
      <w:r w:rsidR="00D42D6A" w:rsidRPr="00924BBD">
        <w:rPr>
          <w:rFonts w:asciiTheme="minorHAnsi" w:hAnsiTheme="minorHAnsi" w:cstheme="minorHAnsi"/>
          <w:sz w:val="23"/>
          <w:szCs w:val="23"/>
        </w:rPr>
        <w:t xml:space="preserve">The diversity of educational activity and mission today </w:t>
      </w:r>
      <w:r w:rsidR="00321F62" w:rsidRPr="00924BBD">
        <w:rPr>
          <w:rFonts w:asciiTheme="minorHAnsi" w:hAnsiTheme="minorHAnsi" w:cstheme="minorHAnsi"/>
          <w:sz w:val="23"/>
          <w:szCs w:val="23"/>
        </w:rPr>
        <w:t xml:space="preserve">may </w:t>
      </w:r>
      <w:r w:rsidR="00D42D6A" w:rsidRPr="00924BBD">
        <w:rPr>
          <w:rFonts w:asciiTheme="minorHAnsi" w:hAnsiTheme="minorHAnsi" w:cstheme="minorHAnsi"/>
          <w:sz w:val="23"/>
          <w:szCs w:val="23"/>
        </w:rPr>
        <w:t>call for a system of accreditation that is aligned more closely with mission or sector or other educationally relevant variable, than with geography.</w:t>
      </w:r>
      <w:r w:rsidR="00FA275C" w:rsidRPr="00924BBD">
        <w:rPr>
          <w:rFonts w:asciiTheme="minorHAnsi" w:hAnsiTheme="minorHAnsi" w:cstheme="minorHAnsi"/>
          <w:sz w:val="23"/>
          <w:szCs w:val="23"/>
        </w:rPr>
        <w:t xml:space="preserve"> </w:t>
      </w:r>
      <w:r w:rsidR="00FA275C" w:rsidRPr="00924BBD">
        <w:rPr>
          <w:rFonts w:asciiTheme="minorHAnsi" w:hAnsiTheme="minorHAnsi" w:cstheme="minorHAnsi"/>
          <w:b/>
          <w:i/>
          <w:color w:val="1F497D" w:themeColor="text2"/>
          <w:sz w:val="23"/>
          <w:szCs w:val="23"/>
        </w:rPr>
        <w:t>(</w:t>
      </w:r>
      <w:r w:rsidRPr="00924BBD">
        <w:rPr>
          <w:rFonts w:asciiTheme="minorHAnsi" w:hAnsiTheme="minorHAnsi" w:cstheme="minorHAnsi"/>
          <w:b/>
          <w:i/>
          <w:color w:val="1F497D" w:themeColor="text2"/>
          <w:sz w:val="23"/>
          <w:szCs w:val="23"/>
        </w:rPr>
        <w:t>extension of the formerly “option 11”--</w:t>
      </w:r>
      <w:r w:rsidR="00FA275C" w:rsidRPr="00924BBD">
        <w:rPr>
          <w:rFonts w:asciiTheme="minorHAnsi" w:hAnsiTheme="minorHAnsi" w:cstheme="minorHAnsi"/>
          <w:b/>
          <w:i/>
          <w:color w:val="1F497D" w:themeColor="text2"/>
          <w:sz w:val="23"/>
          <w:szCs w:val="23"/>
        </w:rPr>
        <w:t xml:space="preserve">reference </w:t>
      </w:r>
      <w:r w:rsidR="007959E9" w:rsidRPr="00924BBD">
        <w:rPr>
          <w:rFonts w:asciiTheme="minorHAnsi" w:hAnsiTheme="minorHAnsi" w:cstheme="minorHAnsi"/>
          <w:b/>
          <w:i/>
          <w:color w:val="1F497D" w:themeColor="text2"/>
          <w:sz w:val="23"/>
          <w:szCs w:val="23"/>
        </w:rPr>
        <w:t>11/12</w:t>
      </w:r>
      <w:r w:rsidR="00FA275C" w:rsidRPr="00924BBD">
        <w:rPr>
          <w:rFonts w:asciiTheme="minorHAnsi" w:hAnsiTheme="minorHAnsi" w:cstheme="minorHAnsi"/>
          <w:b/>
          <w:i/>
          <w:color w:val="1F497D" w:themeColor="text2"/>
          <w:sz w:val="23"/>
          <w:szCs w:val="23"/>
        </w:rPr>
        <w:t xml:space="preserve">, or </w:t>
      </w:r>
      <w:r w:rsidR="007959E9" w:rsidRPr="00924BBD">
        <w:rPr>
          <w:rFonts w:asciiTheme="minorHAnsi" w:hAnsiTheme="minorHAnsi" w:cstheme="minorHAnsi"/>
          <w:b/>
          <w:i/>
          <w:color w:val="1F497D" w:themeColor="text2"/>
          <w:sz w:val="23"/>
          <w:szCs w:val="23"/>
        </w:rPr>
        <w:t>92</w:t>
      </w:r>
      <w:r w:rsidR="00FA275C" w:rsidRPr="00924BBD">
        <w:rPr>
          <w:rFonts w:asciiTheme="minorHAnsi" w:hAnsiTheme="minorHAnsi" w:cstheme="minorHAnsi"/>
          <w:b/>
          <w:i/>
          <w:color w:val="1F497D" w:themeColor="text2"/>
          <w:sz w:val="23"/>
          <w:szCs w:val="23"/>
        </w:rPr>
        <w:t>%, in straw poll)</w:t>
      </w:r>
      <w:r w:rsidR="002F2507" w:rsidRPr="00924BBD">
        <w:rPr>
          <w:rFonts w:asciiTheme="minorHAnsi" w:hAnsiTheme="minorHAnsi" w:cstheme="minorHAnsi"/>
          <w:b/>
          <w:i/>
          <w:color w:val="1F497D" w:themeColor="text2"/>
          <w:sz w:val="23"/>
          <w:szCs w:val="23"/>
        </w:rPr>
        <w:t xml:space="preserve"> </w:t>
      </w:r>
      <w:r w:rsidR="002F2507" w:rsidRPr="00924BBD">
        <w:rPr>
          <w:rFonts w:asciiTheme="minorHAnsi" w:hAnsiTheme="minorHAnsi" w:cstheme="minorHAnsi"/>
          <w:b/>
          <w:color w:val="1F497D" w:themeColor="text2"/>
          <w:sz w:val="23"/>
          <w:szCs w:val="23"/>
        </w:rPr>
        <w:t xml:space="preserve"> </w:t>
      </w:r>
      <w:r w:rsidR="002F2507" w:rsidRPr="00924BBD">
        <w:rPr>
          <w:rFonts w:asciiTheme="minorHAnsi" w:hAnsiTheme="minorHAnsi" w:cstheme="minorHAnsi"/>
          <w:sz w:val="23"/>
          <w:szCs w:val="23"/>
        </w:rPr>
        <w:t>This dialogue may also afford</w:t>
      </w:r>
      <w:r w:rsidRPr="00924BBD">
        <w:rPr>
          <w:rFonts w:asciiTheme="minorHAnsi" w:hAnsiTheme="minorHAnsi" w:cstheme="minorHAnsi"/>
          <w:sz w:val="23"/>
          <w:szCs w:val="23"/>
        </w:rPr>
        <w:t xml:space="preserve"> institutions</w:t>
      </w:r>
      <w:r w:rsidR="00D42D6A" w:rsidRPr="00924BBD">
        <w:rPr>
          <w:rFonts w:asciiTheme="minorHAnsi" w:hAnsiTheme="minorHAnsi" w:cstheme="minorHAnsi"/>
          <w:sz w:val="23"/>
          <w:szCs w:val="23"/>
        </w:rPr>
        <w:t xml:space="preserve"> </w:t>
      </w:r>
      <w:r w:rsidR="002F2507" w:rsidRPr="00924BBD">
        <w:rPr>
          <w:rFonts w:asciiTheme="minorHAnsi" w:hAnsiTheme="minorHAnsi" w:cstheme="minorHAnsi"/>
          <w:sz w:val="23"/>
          <w:szCs w:val="23"/>
        </w:rPr>
        <w:t xml:space="preserve">greater </w:t>
      </w:r>
      <w:r w:rsidR="00D42D6A" w:rsidRPr="00924BBD">
        <w:rPr>
          <w:rFonts w:asciiTheme="minorHAnsi" w:hAnsiTheme="minorHAnsi" w:cstheme="minorHAnsi"/>
          <w:sz w:val="23"/>
          <w:szCs w:val="23"/>
        </w:rPr>
        <w:t>opportunity to choose among accreditors.</w:t>
      </w:r>
      <w:r w:rsidR="00FA275C" w:rsidRPr="00924BBD">
        <w:rPr>
          <w:rFonts w:asciiTheme="minorHAnsi" w:hAnsiTheme="minorHAnsi" w:cstheme="minorHAnsi"/>
          <w:sz w:val="23"/>
          <w:szCs w:val="23"/>
        </w:rPr>
        <w:t xml:space="preserve"> </w:t>
      </w:r>
      <w:r w:rsidR="00FA275C" w:rsidRPr="00924BBD">
        <w:rPr>
          <w:rFonts w:asciiTheme="minorHAnsi" w:hAnsiTheme="minorHAnsi" w:cstheme="minorHAnsi"/>
          <w:b/>
          <w:i/>
          <w:color w:val="1F497D" w:themeColor="text2"/>
          <w:sz w:val="23"/>
          <w:szCs w:val="23"/>
        </w:rPr>
        <w:t>(</w:t>
      </w:r>
      <w:r w:rsidR="007959E9" w:rsidRPr="00924BBD">
        <w:rPr>
          <w:rFonts w:asciiTheme="minorHAnsi" w:hAnsiTheme="minorHAnsi" w:cstheme="minorHAnsi"/>
          <w:b/>
          <w:i/>
          <w:color w:val="1F497D" w:themeColor="text2"/>
          <w:sz w:val="23"/>
          <w:szCs w:val="23"/>
        </w:rPr>
        <w:t xml:space="preserve">formerly “option 12” -- </w:t>
      </w:r>
      <w:r w:rsidR="00FA275C" w:rsidRPr="00924BBD">
        <w:rPr>
          <w:rFonts w:asciiTheme="minorHAnsi" w:hAnsiTheme="minorHAnsi" w:cstheme="minorHAnsi"/>
          <w:b/>
          <w:i/>
          <w:color w:val="1F497D" w:themeColor="text2"/>
          <w:sz w:val="23"/>
          <w:szCs w:val="23"/>
        </w:rPr>
        <w:t xml:space="preserve">reference </w:t>
      </w:r>
      <w:r w:rsidRPr="00924BBD">
        <w:rPr>
          <w:rFonts w:asciiTheme="minorHAnsi" w:hAnsiTheme="minorHAnsi" w:cstheme="minorHAnsi"/>
          <w:b/>
          <w:i/>
          <w:color w:val="1F497D" w:themeColor="text2"/>
          <w:sz w:val="23"/>
          <w:szCs w:val="23"/>
        </w:rPr>
        <w:t>8/1</w:t>
      </w:r>
      <w:r w:rsidR="007959E9" w:rsidRPr="00924BBD">
        <w:rPr>
          <w:rFonts w:asciiTheme="minorHAnsi" w:hAnsiTheme="minorHAnsi" w:cstheme="minorHAnsi"/>
          <w:b/>
          <w:i/>
          <w:color w:val="1F497D" w:themeColor="text2"/>
          <w:sz w:val="23"/>
          <w:szCs w:val="23"/>
        </w:rPr>
        <w:t>2</w:t>
      </w:r>
      <w:r w:rsidR="00FA275C" w:rsidRPr="00924BBD">
        <w:rPr>
          <w:rFonts w:asciiTheme="minorHAnsi" w:hAnsiTheme="minorHAnsi" w:cstheme="minorHAnsi"/>
          <w:b/>
          <w:i/>
          <w:color w:val="1F497D" w:themeColor="text2"/>
          <w:sz w:val="23"/>
          <w:szCs w:val="23"/>
        </w:rPr>
        <w:t xml:space="preserve">, or </w:t>
      </w:r>
      <w:r w:rsidR="007959E9" w:rsidRPr="00924BBD">
        <w:rPr>
          <w:rFonts w:asciiTheme="minorHAnsi" w:hAnsiTheme="minorHAnsi" w:cstheme="minorHAnsi"/>
          <w:b/>
          <w:i/>
          <w:color w:val="1F497D" w:themeColor="text2"/>
          <w:sz w:val="23"/>
          <w:szCs w:val="23"/>
        </w:rPr>
        <w:t>67</w:t>
      </w:r>
      <w:r w:rsidR="00FA275C" w:rsidRPr="00924BBD">
        <w:rPr>
          <w:rFonts w:asciiTheme="minorHAnsi" w:hAnsiTheme="minorHAnsi" w:cstheme="minorHAnsi"/>
          <w:b/>
          <w:i/>
          <w:color w:val="1F497D" w:themeColor="text2"/>
          <w:sz w:val="23"/>
          <w:szCs w:val="23"/>
        </w:rPr>
        <w:t>%, in straw poll)</w:t>
      </w:r>
    </w:p>
    <w:p w:rsidR="00D42D6A" w:rsidRPr="00924BBD" w:rsidRDefault="00D42D6A" w:rsidP="006111D7">
      <w:pPr>
        <w:rPr>
          <w:rFonts w:asciiTheme="minorHAnsi" w:hAnsiTheme="minorHAnsi" w:cstheme="minorHAnsi"/>
          <w:sz w:val="23"/>
          <w:szCs w:val="23"/>
        </w:rPr>
      </w:pPr>
      <w:r w:rsidRPr="00924BBD">
        <w:rPr>
          <w:rFonts w:asciiTheme="minorHAnsi" w:hAnsiTheme="minorHAnsi" w:cstheme="minorHAnsi"/>
          <w:sz w:val="23"/>
          <w:szCs w:val="23"/>
        </w:rPr>
        <w:t xml:space="preserve">Currently, it appears that both federal and accreditor participants in the quality assurance enterprise are </w:t>
      </w:r>
      <w:r w:rsidR="00A73A4C" w:rsidRPr="00924BBD">
        <w:rPr>
          <w:rFonts w:asciiTheme="minorHAnsi" w:hAnsiTheme="minorHAnsi" w:cstheme="minorHAnsi"/>
          <w:sz w:val="23"/>
          <w:szCs w:val="23"/>
        </w:rPr>
        <w:t xml:space="preserve">relatively </w:t>
      </w:r>
      <w:r w:rsidRPr="00924BBD">
        <w:rPr>
          <w:rFonts w:asciiTheme="minorHAnsi" w:hAnsiTheme="minorHAnsi" w:cstheme="minorHAnsi"/>
          <w:sz w:val="23"/>
          <w:szCs w:val="23"/>
        </w:rPr>
        <w:t>undifferentiated in their reviews.  That is, the same level of scrutiny and intensity of review is given to accreditors and institutions with longstanding competent performance on quality indicators as is given to fragile, unstable, low-performing</w:t>
      </w:r>
      <w:r w:rsidR="00321F62" w:rsidRPr="00924BBD">
        <w:rPr>
          <w:rFonts w:asciiTheme="minorHAnsi" w:hAnsiTheme="minorHAnsi" w:cstheme="minorHAnsi"/>
          <w:sz w:val="23"/>
          <w:szCs w:val="23"/>
        </w:rPr>
        <w:t>, rapidly expanding or changing,</w:t>
      </w:r>
      <w:r w:rsidRPr="00924BBD">
        <w:rPr>
          <w:rFonts w:asciiTheme="minorHAnsi" w:hAnsiTheme="minorHAnsi" w:cstheme="minorHAnsi"/>
          <w:sz w:val="23"/>
          <w:szCs w:val="23"/>
        </w:rPr>
        <w:t xml:space="preserve"> or newly-approved institutions or programs.  </w:t>
      </w:r>
      <w:r w:rsidR="00CE352F" w:rsidRPr="00924BBD">
        <w:rPr>
          <w:rFonts w:asciiTheme="minorHAnsi" w:hAnsiTheme="minorHAnsi" w:cstheme="minorHAnsi"/>
          <w:sz w:val="23"/>
          <w:szCs w:val="23"/>
        </w:rPr>
        <w:t>Our recommendations concerning flexibility and nuance in the review process include:</w:t>
      </w:r>
    </w:p>
    <w:p w:rsidR="00D42D6A" w:rsidRPr="00924BBD" w:rsidRDefault="008B083C" w:rsidP="008B083C">
      <w:pPr>
        <w:pStyle w:val="ListParagraph"/>
        <w:numPr>
          <w:ilvl w:val="0"/>
          <w:numId w:val="9"/>
        </w:numPr>
        <w:rPr>
          <w:rFonts w:asciiTheme="minorHAnsi" w:hAnsiTheme="minorHAnsi" w:cstheme="minorHAnsi"/>
          <w:sz w:val="23"/>
          <w:szCs w:val="23"/>
        </w:rPr>
      </w:pPr>
      <w:r w:rsidRPr="00924BBD">
        <w:rPr>
          <w:rFonts w:asciiTheme="minorHAnsi" w:hAnsiTheme="minorHAnsi" w:cstheme="minorHAnsi"/>
          <w:sz w:val="23"/>
          <w:szCs w:val="23"/>
        </w:rPr>
        <w:lastRenderedPageBreak/>
        <w:t xml:space="preserve">Afford accreditors greater opportunity </w:t>
      </w:r>
      <w:r w:rsidR="0060071B" w:rsidRPr="00924BBD">
        <w:rPr>
          <w:rFonts w:asciiTheme="minorHAnsi" w:hAnsiTheme="minorHAnsi" w:cstheme="minorHAnsi"/>
          <w:sz w:val="23"/>
          <w:szCs w:val="23"/>
        </w:rPr>
        <w:t xml:space="preserve">and encourage them </w:t>
      </w:r>
      <w:r w:rsidRPr="00924BBD">
        <w:rPr>
          <w:rFonts w:asciiTheme="minorHAnsi" w:hAnsiTheme="minorHAnsi" w:cstheme="minorHAnsi"/>
          <w:sz w:val="23"/>
          <w:szCs w:val="23"/>
        </w:rPr>
        <w:t xml:space="preserve">to distinguish among programs or institutions with </w:t>
      </w:r>
      <w:r w:rsidR="00D42D6A" w:rsidRPr="00924BBD">
        <w:rPr>
          <w:rFonts w:asciiTheme="minorHAnsi" w:hAnsiTheme="minorHAnsi" w:cstheme="minorHAnsi"/>
          <w:sz w:val="23"/>
          <w:szCs w:val="23"/>
        </w:rPr>
        <w:t xml:space="preserve">more varied levels and durations of review, such that the greater review effort is addressed to accreditors and institutions that present greater potential cause for concern and those whose circumstance may call for additional, supplemental, or heightened review. </w:t>
      </w:r>
      <w:r w:rsidRPr="00924BBD">
        <w:rPr>
          <w:rFonts w:asciiTheme="minorHAnsi" w:hAnsiTheme="minorHAnsi" w:cstheme="minorHAnsi"/>
          <w:sz w:val="23"/>
          <w:szCs w:val="23"/>
        </w:rPr>
        <w:t xml:space="preserve">Ensure that such distinctions do not </w:t>
      </w:r>
      <w:r w:rsidR="00A73A4C" w:rsidRPr="00924BBD">
        <w:rPr>
          <w:rFonts w:asciiTheme="minorHAnsi" w:hAnsiTheme="minorHAnsi" w:cstheme="minorHAnsi"/>
          <w:sz w:val="23"/>
          <w:szCs w:val="23"/>
        </w:rPr>
        <w:t xml:space="preserve">engender discriminatory action nor </w:t>
      </w:r>
      <w:r w:rsidRPr="00924BBD">
        <w:rPr>
          <w:rFonts w:asciiTheme="minorHAnsi" w:hAnsiTheme="minorHAnsi" w:cstheme="minorHAnsi"/>
          <w:sz w:val="23"/>
          <w:szCs w:val="23"/>
        </w:rPr>
        <w:t xml:space="preserve">arise from the application of differential standards.  </w:t>
      </w:r>
      <w:r w:rsidR="00FA275C" w:rsidRPr="00924BBD">
        <w:rPr>
          <w:rFonts w:asciiTheme="minorHAnsi" w:hAnsiTheme="minorHAnsi" w:cstheme="minorHAnsi"/>
          <w:b/>
          <w:i/>
          <w:color w:val="1F497D" w:themeColor="text2"/>
          <w:sz w:val="23"/>
          <w:szCs w:val="23"/>
        </w:rPr>
        <w:t>(</w:t>
      </w:r>
      <w:r w:rsidRPr="00924BBD">
        <w:rPr>
          <w:rFonts w:asciiTheme="minorHAnsi" w:hAnsiTheme="minorHAnsi" w:cstheme="minorHAnsi"/>
          <w:b/>
          <w:i/>
          <w:color w:val="1F497D" w:themeColor="text2"/>
          <w:sz w:val="23"/>
          <w:szCs w:val="23"/>
        </w:rPr>
        <w:t>a modification of formerly “Option 13”--</w:t>
      </w:r>
      <w:r w:rsidR="00FA275C" w:rsidRPr="00924BBD">
        <w:rPr>
          <w:rFonts w:asciiTheme="minorHAnsi" w:hAnsiTheme="minorHAnsi" w:cstheme="minorHAnsi"/>
          <w:b/>
          <w:i/>
          <w:color w:val="1F497D" w:themeColor="text2"/>
          <w:sz w:val="23"/>
          <w:szCs w:val="23"/>
        </w:rPr>
        <w:t xml:space="preserve">reference </w:t>
      </w:r>
      <w:r w:rsidR="002836C5" w:rsidRPr="00924BBD">
        <w:rPr>
          <w:rFonts w:asciiTheme="minorHAnsi" w:hAnsiTheme="minorHAnsi" w:cstheme="minorHAnsi"/>
          <w:b/>
          <w:i/>
          <w:color w:val="1F497D" w:themeColor="text2"/>
          <w:sz w:val="23"/>
          <w:szCs w:val="23"/>
        </w:rPr>
        <w:t>11/1</w:t>
      </w:r>
      <w:r w:rsidR="007959E9" w:rsidRPr="00924BBD">
        <w:rPr>
          <w:rFonts w:asciiTheme="minorHAnsi" w:hAnsiTheme="minorHAnsi" w:cstheme="minorHAnsi"/>
          <w:b/>
          <w:i/>
          <w:color w:val="1F497D" w:themeColor="text2"/>
          <w:sz w:val="23"/>
          <w:szCs w:val="23"/>
        </w:rPr>
        <w:t>2</w:t>
      </w:r>
      <w:r w:rsidR="00FA275C" w:rsidRPr="00924BBD">
        <w:rPr>
          <w:rFonts w:asciiTheme="minorHAnsi" w:hAnsiTheme="minorHAnsi" w:cstheme="minorHAnsi"/>
          <w:b/>
          <w:i/>
          <w:color w:val="1F497D" w:themeColor="text2"/>
          <w:sz w:val="23"/>
          <w:szCs w:val="23"/>
        </w:rPr>
        <w:t xml:space="preserve">, or </w:t>
      </w:r>
      <w:r w:rsidR="007959E9" w:rsidRPr="00924BBD">
        <w:rPr>
          <w:rFonts w:asciiTheme="minorHAnsi" w:hAnsiTheme="minorHAnsi" w:cstheme="minorHAnsi"/>
          <w:b/>
          <w:i/>
          <w:color w:val="1F497D" w:themeColor="text2"/>
          <w:sz w:val="23"/>
          <w:szCs w:val="23"/>
        </w:rPr>
        <w:t>92</w:t>
      </w:r>
      <w:r w:rsidR="00FA275C" w:rsidRPr="00924BBD">
        <w:rPr>
          <w:rFonts w:asciiTheme="minorHAnsi" w:hAnsiTheme="minorHAnsi" w:cstheme="minorHAnsi"/>
          <w:b/>
          <w:i/>
          <w:color w:val="1F497D" w:themeColor="text2"/>
          <w:sz w:val="23"/>
          <w:szCs w:val="23"/>
        </w:rPr>
        <w:t>%, in straw poll)</w:t>
      </w:r>
    </w:p>
    <w:p w:rsidR="00D42D6A" w:rsidRPr="00924BBD" w:rsidRDefault="0060071B" w:rsidP="00A73A4C">
      <w:pPr>
        <w:pStyle w:val="ListParagraph"/>
        <w:numPr>
          <w:ilvl w:val="0"/>
          <w:numId w:val="9"/>
        </w:numPr>
        <w:rPr>
          <w:rFonts w:asciiTheme="minorHAnsi" w:hAnsiTheme="minorHAnsi" w:cstheme="minorHAnsi"/>
          <w:sz w:val="23"/>
          <w:szCs w:val="23"/>
        </w:rPr>
      </w:pPr>
      <w:r w:rsidRPr="00924BBD">
        <w:rPr>
          <w:rFonts w:asciiTheme="minorHAnsi" w:hAnsiTheme="minorHAnsi" w:cstheme="minorHAnsi"/>
          <w:sz w:val="23"/>
          <w:szCs w:val="23"/>
        </w:rPr>
        <w:t>Afford accreditors greater opportunity and en</w:t>
      </w:r>
      <w:r w:rsidR="00A73A4C" w:rsidRPr="00924BBD">
        <w:rPr>
          <w:rFonts w:asciiTheme="minorHAnsi" w:hAnsiTheme="minorHAnsi" w:cstheme="minorHAnsi"/>
          <w:sz w:val="23"/>
          <w:szCs w:val="23"/>
        </w:rPr>
        <w:t>courage</w:t>
      </w:r>
      <w:r w:rsidR="00D42D6A" w:rsidRPr="00924BBD">
        <w:rPr>
          <w:rFonts w:asciiTheme="minorHAnsi" w:hAnsiTheme="minorHAnsi" w:cstheme="minorHAnsi"/>
          <w:sz w:val="23"/>
          <w:szCs w:val="23"/>
        </w:rPr>
        <w:t xml:space="preserve"> </w:t>
      </w:r>
      <w:r w:rsidRPr="00924BBD">
        <w:rPr>
          <w:rFonts w:asciiTheme="minorHAnsi" w:hAnsiTheme="minorHAnsi" w:cstheme="minorHAnsi"/>
          <w:sz w:val="23"/>
          <w:szCs w:val="23"/>
        </w:rPr>
        <w:t>them</w:t>
      </w:r>
      <w:r w:rsidR="00D42D6A" w:rsidRPr="00924BBD">
        <w:rPr>
          <w:rFonts w:asciiTheme="minorHAnsi" w:hAnsiTheme="minorHAnsi" w:cstheme="minorHAnsi"/>
          <w:sz w:val="23"/>
          <w:szCs w:val="23"/>
        </w:rPr>
        <w:t xml:space="preserve"> to design systems for expedited review.  </w:t>
      </w:r>
      <w:r w:rsidR="00FA275C" w:rsidRPr="00924BBD">
        <w:rPr>
          <w:rFonts w:asciiTheme="minorHAnsi" w:hAnsiTheme="minorHAnsi" w:cstheme="minorHAnsi"/>
          <w:b/>
          <w:i/>
          <w:color w:val="1F497D" w:themeColor="text2"/>
          <w:sz w:val="23"/>
          <w:szCs w:val="23"/>
        </w:rPr>
        <w:t>(</w:t>
      </w:r>
      <w:r w:rsidR="00A73A4C" w:rsidRPr="00924BBD">
        <w:rPr>
          <w:rFonts w:asciiTheme="minorHAnsi" w:hAnsiTheme="minorHAnsi" w:cstheme="minorHAnsi"/>
          <w:b/>
          <w:i/>
          <w:color w:val="1F497D" w:themeColor="text2"/>
          <w:sz w:val="23"/>
          <w:szCs w:val="23"/>
        </w:rPr>
        <w:t>modified formerly “option 14”--</w:t>
      </w:r>
      <w:r w:rsidR="00FA275C" w:rsidRPr="00924BBD">
        <w:rPr>
          <w:rFonts w:asciiTheme="minorHAnsi" w:hAnsiTheme="minorHAnsi" w:cstheme="minorHAnsi"/>
          <w:b/>
          <w:i/>
          <w:color w:val="1F497D" w:themeColor="text2"/>
          <w:sz w:val="23"/>
          <w:szCs w:val="23"/>
        </w:rPr>
        <w:t xml:space="preserve">reference </w:t>
      </w:r>
      <w:r w:rsidR="007959E9" w:rsidRPr="00924BBD">
        <w:rPr>
          <w:rFonts w:asciiTheme="minorHAnsi" w:hAnsiTheme="minorHAnsi" w:cstheme="minorHAnsi"/>
          <w:b/>
          <w:i/>
          <w:color w:val="1F497D" w:themeColor="text2"/>
          <w:sz w:val="23"/>
          <w:szCs w:val="23"/>
        </w:rPr>
        <w:t>12/12</w:t>
      </w:r>
      <w:r w:rsidR="00FA275C" w:rsidRPr="00924BBD">
        <w:rPr>
          <w:rFonts w:asciiTheme="minorHAnsi" w:hAnsiTheme="minorHAnsi" w:cstheme="minorHAnsi"/>
          <w:b/>
          <w:i/>
          <w:color w:val="1F497D" w:themeColor="text2"/>
          <w:sz w:val="23"/>
          <w:szCs w:val="23"/>
        </w:rPr>
        <w:t xml:space="preserve">, or </w:t>
      </w:r>
      <w:r w:rsidR="00A73A4C" w:rsidRPr="00924BBD">
        <w:rPr>
          <w:rFonts w:asciiTheme="minorHAnsi" w:hAnsiTheme="minorHAnsi" w:cstheme="minorHAnsi"/>
          <w:b/>
          <w:i/>
          <w:color w:val="1F497D" w:themeColor="text2"/>
          <w:sz w:val="23"/>
          <w:szCs w:val="23"/>
        </w:rPr>
        <w:t>100</w:t>
      </w:r>
      <w:r w:rsidR="00FA275C" w:rsidRPr="00924BBD">
        <w:rPr>
          <w:rFonts w:asciiTheme="minorHAnsi" w:hAnsiTheme="minorHAnsi" w:cstheme="minorHAnsi"/>
          <w:b/>
          <w:i/>
          <w:color w:val="1F497D" w:themeColor="text2"/>
          <w:sz w:val="23"/>
          <w:szCs w:val="23"/>
        </w:rPr>
        <w:t>%, in straw poll)</w:t>
      </w:r>
    </w:p>
    <w:p w:rsidR="00D42D6A" w:rsidRPr="00924BBD" w:rsidRDefault="0060071B" w:rsidP="00A73A4C">
      <w:pPr>
        <w:pStyle w:val="ListParagraph"/>
        <w:numPr>
          <w:ilvl w:val="0"/>
          <w:numId w:val="9"/>
        </w:numPr>
        <w:rPr>
          <w:rFonts w:asciiTheme="minorHAnsi" w:hAnsiTheme="minorHAnsi" w:cstheme="minorHAnsi"/>
          <w:sz w:val="23"/>
          <w:szCs w:val="23"/>
        </w:rPr>
      </w:pPr>
      <w:r w:rsidRPr="00924BBD">
        <w:rPr>
          <w:rFonts w:asciiTheme="minorHAnsi" w:hAnsiTheme="minorHAnsi" w:cstheme="minorHAnsi"/>
          <w:sz w:val="23"/>
          <w:szCs w:val="23"/>
        </w:rPr>
        <w:t xml:space="preserve">Afford accreditors greater opportunity to </w:t>
      </w:r>
      <w:r w:rsidR="00D42D6A" w:rsidRPr="00924BBD">
        <w:rPr>
          <w:rFonts w:asciiTheme="minorHAnsi" w:hAnsiTheme="minorHAnsi" w:cstheme="minorHAnsi"/>
          <w:sz w:val="23"/>
          <w:szCs w:val="23"/>
        </w:rPr>
        <w:t>offer more gradations in their accreditation decisions.</w:t>
      </w:r>
      <w:r w:rsidR="00FA275C" w:rsidRPr="00924BBD">
        <w:rPr>
          <w:rFonts w:asciiTheme="minorHAnsi" w:hAnsiTheme="minorHAnsi" w:cstheme="minorHAnsi"/>
          <w:i/>
          <w:sz w:val="23"/>
          <w:szCs w:val="23"/>
        </w:rPr>
        <w:t xml:space="preserve"> </w:t>
      </w:r>
      <w:r w:rsidR="00FA275C" w:rsidRPr="00924BBD">
        <w:rPr>
          <w:rFonts w:asciiTheme="minorHAnsi" w:hAnsiTheme="minorHAnsi" w:cstheme="minorHAnsi"/>
          <w:b/>
          <w:i/>
          <w:color w:val="1F497D" w:themeColor="text2"/>
          <w:sz w:val="23"/>
          <w:szCs w:val="23"/>
        </w:rPr>
        <w:t>(</w:t>
      </w:r>
      <w:r w:rsidR="00A73A4C" w:rsidRPr="00924BBD">
        <w:rPr>
          <w:rFonts w:asciiTheme="minorHAnsi" w:hAnsiTheme="minorHAnsi" w:cstheme="minorHAnsi"/>
          <w:b/>
          <w:i/>
          <w:color w:val="1F497D" w:themeColor="text2"/>
          <w:sz w:val="23"/>
          <w:szCs w:val="23"/>
        </w:rPr>
        <w:t>modified formerly “option 15”--</w:t>
      </w:r>
      <w:r w:rsidR="00FA275C" w:rsidRPr="00924BBD">
        <w:rPr>
          <w:rFonts w:asciiTheme="minorHAnsi" w:hAnsiTheme="minorHAnsi" w:cstheme="minorHAnsi"/>
          <w:b/>
          <w:i/>
          <w:color w:val="1F497D" w:themeColor="text2"/>
          <w:sz w:val="23"/>
          <w:szCs w:val="23"/>
        </w:rPr>
        <w:t xml:space="preserve">reference </w:t>
      </w:r>
      <w:r w:rsidR="00A73A4C" w:rsidRPr="00924BBD">
        <w:rPr>
          <w:rFonts w:asciiTheme="minorHAnsi" w:hAnsiTheme="minorHAnsi" w:cstheme="minorHAnsi"/>
          <w:b/>
          <w:i/>
          <w:color w:val="1F497D" w:themeColor="text2"/>
          <w:sz w:val="23"/>
          <w:szCs w:val="23"/>
        </w:rPr>
        <w:t>10/1</w:t>
      </w:r>
      <w:r w:rsidR="007959E9" w:rsidRPr="00924BBD">
        <w:rPr>
          <w:rFonts w:asciiTheme="minorHAnsi" w:hAnsiTheme="minorHAnsi" w:cstheme="minorHAnsi"/>
          <w:b/>
          <w:i/>
          <w:color w:val="1F497D" w:themeColor="text2"/>
          <w:sz w:val="23"/>
          <w:szCs w:val="23"/>
        </w:rPr>
        <w:t>2</w:t>
      </w:r>
      <w:r w:rsidR="00FA275C" w:rsidRPr="00924BBD">
        <w:rPr>
          <w:rFonts w:asciiTheme="minorHAnsi" w:hAnsiTheme="minorHAnsi" w:cstheme="minorHAnsi"/>
          <w:b/>
          <w:i/>
          <w:color w:val="1F497D" w:themeColor="text2"/>
          <w:sz w:val="23"/>
          <w:szCs w:val="23"/>
        </w:rPr>
        <w:t xml:space="preserve">, or </w:t>
      </w:r>
      <w:r w:rsidR="007959E9" w:rsidRPr="00924BBD">
        <w:rPr>
          <w:rFonts w:asciiTheme="minorHAnsi" w:hAnsiTheme="minorHAnsi" w:cstheme="minorHAnsi"/>
          <w:b/>
          <w:i/>
          <w:color w:val="1F497D" w:themeColor="text2"/>
          <w:sz w:val="23"/>
          <w:szCs w:val="23"/>
        </w:rPr>
        <w:t>83</w:t>
      </w:r>
      <w:r w:rsidR="00FA275C" w:rsidRPr="00924BBD">
        <w:rPr>
          <w:rFonts w:asciiTheme="minorHAnsi" w:hAnsiTheme="minorHAnsi" w:cstheme="minorHAnsi"/>
          <w:b/>
          <w:i/>
          <w:color w:val="1F497D" w:themeColor="text2"/>
          <w:sz w:val="23"/>
          <w:szCs w:val="23"/>
        </w:rPr>
        <w:t>%, in straw poll)</w:t>
      </w:r>
    </w:p>
    <w:p w:rsidR="00D42D6A" w:rsidRPr="00924BBD" w:rsidRDefault="00D42D6A" w:rsidP="003555D6">
      <w:pPr>
        <w:rPr>
          <w:rFonts w:asciiTheme="minorHAnsi" w:hAnsiTheme="minorHAnsi" w:cstheme="minorHAnsi"/>
          <w:sz w:val="23"/>
          <w:szCs w:val="23"/>
        </w:rPr>
      </w:pPr>
      <w:r w:rsidRPr="00924BBD">
        <w:rPr>
          <w:rFonts w:asciiTheme="minorHAnsi" w:hAnsiTheme="minorHAnsi" w:cstheme="minorHAnsi"/>
          <w:sz w:val="23"/>
          <w:szCs w:val="23"/>
        </w:rPr>
        <w:t xml:space="preserve">Taken as a whole, the accreditation process </w:t>
      </w:r>
      <w:r w:rsidR="00321F62" w:rsidRPr="00924BBD">
        <w:rPr>
          <w:rFonts w:asciiTheme="minorHAnsi" w:hAnsiTheme="minorHAnsi" w:cstheme="minorHAnsi"/>
          <w:sz w:val="23"/>
          <w:szCs w:val="23"/>
        </w:rPr>
        <w:t>should be measured by reasonable cost-benefit standards, in which regulatory obli</w:t>
      </w:r>
      <w:r w:rsidR="00570D8F" w:rsidRPr="00924BBD">
        <w:rPr>
          <w:rFonts w:asciiTheme="minorHAnsi" w:hAnsiTheme="minorHAnsi" w:cstheme="minorHAnsi"/>
          <w:sz w:val="23"/>
          <w:szCs w:val="23"/>
        </w:rPr>
        <w:t>g</w:t>
      </w:r>
      <w:r w:rsidR="00321F62" w:rsidRPr="00924BBD">
        <w:rPr>
          <w:rFonts w:asciiTheme="minorHAnsi" w:hAnsiTheme="minorHAnsi" w:cstheme="minorHAnsi"/>
          <w:sz w:val="23"/>
          <w:szCs w:val="23"/>
        </w:rPr>
        <w:t>ations, effort and cost are consistent with the results in terms of important protections and quality contr</w:t>
      </w:r>
      <w:r w:rsidR="00570D8F" w:rsidRPr="00924BBD">
        <w:rPr>
          <w:rFonts w:asciiTheme="minorHAnsi" w:hAnsiTheme="minorHAnsi" w:cstheme="minorHAnsi"/>
          <w:sz w:val="23"/>
          <w:szCs w:val="23"/>
        </w:rPr>
        <w:t>o</w:t>
      </w:r>
      <w:r w:rsidR="00321F62" w:rsidRPr="00924BBD">
        <w:rPr>
          <w:rFonts w:asciiTheme="minorHAnsi" w:hAnsiTheme="minorHAnsi" w:cstheme="minorHAnsi"/>
          <w:sz w:val="23"/>
          <w:szCs w:val="23"/>
        </w:rPr>
        <w:t xml:space="preserve">l.  Some current requirements are </w:t>
      </w:r>
      <w:r w:rsidR="007D471C" w:rsidRPr="00924BBD">
        <w:rPr>
          <w:rFonts w:asciiTheme="minorHAnsi" w:hAnsiTheme="minorHAnsi" w:cstheme="minorHAnsi"/>
          <w:sz w:val="23"/>
          <w:szCs w:val="23"/>
        </w:rPr>
        <w:t xml:space="preserve">essential to allow accreditors to evaluate institutional or program quality, while others may be </w:t>
      </w:r>
      <w:r w:rsidRPr="00924BBD">
        <w:rPr>
          <w:rFonts w:asciiTheme="minorHAnsi" w:hAnsiTheme="minorHAnsi" w:cstheme="minorHAnsi"/>
          <w:sz w:val="23"/>
          <w:szCs w:val="23"/>
        </w:rPr>
        <w:t xml:space="preserve">seen as </w:t>
      </w:r>
      <w:r w:rsidR="00321F62" w:rsidRPr="00924BBD">
        <w:rPr>
          <w:rFonts w:asciiTheme="minorHAnsi" w:hAnsiTheme="minorHAnsi" w:cstheme="minorHAnsi"/>
          <w:sz w:val="23"/>
          <w:szCs w:val="23"/>
        </w:rPr>
        <w:t xml:space="preserve">unnecessarily </w:t>
      </w:r>
      <w:r w:rsidRPr="00924BBD">
        <w:rPr>
          <w:rFonts w:asciiTheme="minorHAnsi" w:hAnsiTheme="minorHAnsi" w:cstheme="minorHAnsi"/>
          <w:sz w:val="23"/>
          <w:szCs w:val="23"/>
        </w:rPr>
        <w:t>intrusive</w:t>
      </w:r>
      <w:r w:rsidR="0036687F" w:rsidRPr="00924BBD">
        <w:rPr>
          <w:rFonts w:asciiTheme="minorHAnsi" w:hAnsiTheme="minorHAnsi" w:cstheme="minorHAnsi"/>
          <w:sz w:val="23"/>
          <w:szCs w:val="23"/>
        </w:rPr>
        <w:t xml:space="preserve">, </w:t>
      </w:r>
      <w:r w:rsidRPr="00924BBD">
        <w:rPr>
          <w:rFonts w:asciiTheme="minorHAnsi" w:hAnsiTheme="minorHAnsi" w:cstheme="minorHAnsi"/>
          <w:sz w:val="23"/>
          <w:szCs w:val="23"/>
        </w:rPr>
        <w:t>prescriptive</w:t>
      </w:r>
      <w:r w:rsidR="0036687F" w:rsidRPr="00924BBD">
        <w:rPr>
          <w:rFonts w:asciiTheme="minorHAnsi" w:hAnsiTheme="minorHAnsi" w:cstheme="minorHAnsi"/>
          <w:sz w:val="23"/>
          <w:szCs w:val="23"/>
        </w:rPr>
        <w:t>, and granular</w:t>
      </w:r>
      <w:r w:rsidRPr="00924BBD">
        <w:rPr>
          <w:rFonts w:asciiTheme="minorHAnsi" w:hAnsiTheme="minorHAnsi" w:cstheme="minorHAnsi"/>
          <w:sz w:val="23"/>
          <w:szCs w:val="23"/>
        </w:rPr>
        <w:t xml:space="preserve"> in ways that may not </w:t>
      </w:r>
      <w:r w:rsidR="00321F62" w:rsidRPr="00924BBD">
        <w:rPr>
          <w:rFonts w:asciiTheme="minorHAnsi" w:hAnsiTheme="minorHAnsi" w:cstheme="minorHAnsi"/>
          <w:sz w:val="23"/>
          <w:szCs w:val="23"/>
        </w:rPr>
        <w:t xml:space="preserve">advance system goals nor </w:t>
      </w:r>
      <w:r w:rsidRPr="00924BBD">
        <w:rPr>
          <w:rFonts w:asciiTheme="minorHAnsi" w:hAnsiTheme="minorHAnsi" w:cstheme="minorHAnsi"/>
          <w:sz w:val="23"/>
          <w:szCs w:val="23"/>
        </w:rPr>
        <w:t>match institutional priorities,</w:t>
      </w:r>
      <w:r w:rsidR="0036687F" w:rsidRPr="00924BBD">
        <w:rPr>
          <w:rFonts w:asciiTheme="minorHAnsi" w:hAnsiTheme="minorHAnsi" w:cstheme="minorHAnsi"/>
          <w:sz w:val="23"/>
          <w:szCs w:val="23"/>
        </w:rPr>
        <w:t xml:space="preserve"> and</w:t>
      </w:r>
      <w:r w:rsidRPr="00924BBD">
        <w:rPr>
          <w:rFonts w:asciiTheme="minorHAnsi" w:hAnsiTheme="minorHAnsi" w:cstheme="minorHAnsi"/>
          <w:sz w:val="23"/>
          <w:szCs w:val="23"/>
        </w:rPr>
        <w:t xml:space="preserve"> </w:t>
      </w:r>
      <w:r w:rsidR="0036687F" w:rsidRPr="00924BBD">
        <w:rPr>
          <w:rFonts w:asciiTheme="minorHAnsi" w:hAnsiTheme="minorHAnsi" w:cstheme="minorHAnsi"/>
          <w:sz w:val="23"/>
          <w:szCs w:val="23"/>
        </w:rPr>
        <w:t>as costly</w:t>
      </w:r>
      <w:r w:rsidRPr="00924BBD">
        <w:rPr>
          <w:rFonts w:asciiTheme="minorHAnsi" w:hAnsiTheme="minorHAnsi" w:cstheme="minorHAnsi"/>
          <w:sz w:val="23"/>
          <w:szCs w:val="23"/>
        </w:rPr>
        <w:t xml:space="preserve"> in resources such as time, funds, and opportunity.  </w:t>
      </w:r>
      <w:r w:rsidR="00CE352F" w:rsidRPr="00924BBD">
        <w:rPr>
          <w:rFonts w:asciiTheme="minorHAnsi" w:hAnsiTheme="minorHAnsi" w:cstheme="minorHAnsi"/>
          <w:sz w:val="23"/>
          <w:szCs w:val="23"/>
        </w:rPr>
        <w:t>Here, our recommendation is:</w:t>
      </w:r>
    </w:p>
    <w:p w:rsidR="00D42D6A" w:rsidRPr="00924BBD" w:rsidRDefault="00D42D6A" w:rsidP="00A73A4C">
      <w:pPr>
        <w:pStyle w:val="ListParagraph"/>
        <w:numPr>
          <w:ilvl w:val="0"/>
          <w:numId w:val="9"/>
        </w:numPr>
        <w:rPr>
          <w:rFonts w:asciiTheme="minorHAnsi" w:hAnsiTheme="minorHAnsi" w:cstheme="minorHAnsi"/>
          <w:i/>
          <w:sz w:val="23"/>
          <w:szCs w:val="23"/>
        </w:rPr>
      </w:pPr>
      <w:r w:rsidRPr="00924BBD">
        <w:rPr>
          <w:rFonts w:asciiTheme="minorHAnsi" w:hAnsiTheme="minorHAnsi" w:cstheme="minorHAnsi"/>
          <w:sz w:val="23"/>
          <w:szCs w:val="23"/>
        </w:rPr>
        <w:t>Undertake substantial modification to the existing statutory and regulatory criteria</w:t>
      </w:r>
      <w:r w:rsidR="00A73A4C" w:rsidRPr="00924BBD">
        <w:rPr>
          <w:rFonts w:asciiTheme="minorHAnsi" w:hAnsiTheme="minorHAnsi" w:cstheme="minorHAnsi"/>
          <w:sz w:val="23"/>
          <w:szCs w:val="23"/>
        </w:rPr>
        <w:t>,</w:t>
      </w:r>
      <w:r w:rsidRPr="00924BBD">
        <w:rPr>
          <w:rFonts w:asciiTheme="minorHAnsi" w:hAnsiTheme="minorHAnsi" w:cstheme="minorHAnsi"/>
          <w:sz w:val="23"/>
          <w:szCs w:val="23"/>
        </w:rPr>
        <w:t xml:space="preserve"> </w:t>
      </w:r>
      <w:r w:rsidR="00A73A4C" w:rsidRPr="00924BBD">
        <w:rPr>
          <w:rFonts w:asciiTheme="minorHAnsi" w:hAnsiTheme="minorHAnsi" w:cstheme="minorHAnsi"/>
          <w:sz w:val="23"/>
          <w:szCs w:val="23"/>
        </w:rPr>
        <w:t xml:space="preserve">and their application, </w:t>
      </w:r>
      <w:r w:rsidRPr="00924BBD">
        <w:rPr>
          <w:rFonts w:asciiTheme="minorHAnsi" w:hAnsiTheme="minorHAnsi" w:cstheme="minorHAnsi"/>
          <w:sz w:val="23"/>
          <w:szCs w:val="23"/>
        </w:rPr>
        <w:t xml:space="preserve">to make them </w:t>
      </w:r>
      <w:r w:rsidR="00321F62" w:rsidRPr="00924BBD">
        <w:rPr>
          <w:rFonts w:asciiTheme="minorHAnsi" w:hAnsiTheme="minorHAnsi" w:cstheme="minorHAnsi"/>
          <w:sz w:val="23"/>
          <w:szCs w:val="23"/>
        </w:rPr>
        <w:t xml:space="preserve">where possible </w:t>
      </w:r>
      <w:r w:rsidRPr="00924BBD">
        <w:rPr>
          <w:rFonts w:asciiTheme="minorHAnsi" w:hAnsiTheme="minorHAnsi" w:cstheme="minorHAnsi"/>
          <w:sz w:val="23"/>
          <w:szCs w:val="23"/>
        </w:rPr>
        <w:t>less intrusive</w:t>
      </w:r>
      <w:r w:rsidR="00A73A4C" w:rsidRPr="00924BBD">
        <w:rPr>
          <w:rFonts w:asciiTheme="minorHAnsi" w:hAnsiTheme="minorHAnsi" w:cstheme="minorHAnsi"/>
          <w:sz w:val="23"/>
          <w:szCs w:val="23"/>
        </w:rPr>
        <w:t xml:space="preserve">, </w:t>
      </w:r>
      <w:r w:rsidRPr="00924BBD">
        <w:rPr>
          <w:rFonts w:asciiTheme="minorHAnsi" w:hAnsiTheme="minorHAnsi" w:cstheme="minorHAnsi"/>
          <w:sz w:val="23"/>
          <w:szCs w:val="23"/>
        </w:rPr>
        <w:t>prescriptive</w:t>
      </w:r>
      <w:r w:rsidR="00A73A4C" w:rsidRPr="00924BBD">
        <w:rPr>
          <w:rFonts w:asciiTheme="minorHAnsi" w:hAnsiTheme="minorHAnsi" w:cstheme="minorHAnsi"/>
          <w:sz w:val="23"/>
          <w:szCs w:val="23"/>
        </w:rPr>
        <w:t xml:space="preserve">, </w:t>
      </w:r>
      <w:r w:rsidR="00B816DA" w:rsidRPr="00924BBD">
        <w:rPr>
          <w:rFonts w:asciiTheme="minorHAnsi" w:hAnsiTheme="minorHAnsi" w:cstheme="minorHAnsi"/>
          <w:sz w:val="23"/>
          <w:szCs w:val="23"/>
        </w:rPr>
        <w:t xml:space="preserve">costly, </w:t>
      </w:r>
      <w:r w:rsidR="00A73A4C" w:rsidRPr="00924BBD">
        <w:rPr>
          <w:rFonts w:asciiTheme="minorHAnsi" w:hAnsiTheme="minorHAnsi" w:cstheme="minorHAnsi"/>
          <w:sz w:val="23"/>
          <w:szCs w:val="23"/>
        </w:rPr>
        <w:t>and granular</w:t>
      </w:r>
      <w:r w:rsidR="00321F62" w:rsidRPr="00924BBD">
        <w:rPr>
          <w:rFonts w:asciiTheme="minorHAnsi" w:hAnsiTheme="minorHAnsi" w:cstheme="minorHAnsi"/>
          <w:sz w:val="23"/>
          <w:szCs w:val="23"/>
        </w:rPr>
        <w:t xml:space="preserve"> while maintaining the essential quality controls of gatekeeping</w:t>
      </w:r>
      <w:r w:rsidR="00A73A4C" w:rsidRPr="00924BBD">
        <w:rPr>
          <w:rFonts w:asciiTheme="minorHAnsi" w:hAnsiTheme="minorHAnsi" w:cstheme="minorHAnsi"/>
          <w:sz w:val="23"/>
          <w:szCs w:val="23"/>
        </w:rPr>
        <w:t xml:space="preserve">.  </w:t>
      </w:r>
      <w:r w:rsidR="00FA275C" w:rsidRPr="00924BBD">
        <w:rPr>
          <w:rFonts w:asciiTheme="minorHAnsi" w:hAnsiTheme="minorHAnsi" w:cstheme="minorHAnsi"/>
          <w:b/>
          <w:i/>
          <w:color w:val="1F497D" w:themeColor="text2"/>
          <w:sz w:val="23"/>
          <w:szCs w:val="23"/>
        </w:rPr>
        <w:t>(</w:t>
      </w:r>
      <w:r w:rsidR="00A73A4C" w:rsidRPr="00924BBD">
        <w:rPr>
          <w:rFonts w:asciiTheme="minorHAnsi" w:hAnsiTheme="minorHAnsi" w:cstheme="minorHAnsi"/>
          <w:b/>
          <w:i/>
          <w:color w:val="1F497D" w:themeColor="text2"/>
          <w:sz w:val="23"/>
          <w:szCs w:val="23"/>
        </w:rPr>
        <w:t>modified formerly “option 17”--</w:t>
      </w:r>
      <w:r w:rsidR="00FA275C" w:rsidRPr="00924BBD">
        <w:rPr>
          <w:rFonts w:asciiTheme="minorHAnsi" w:hAnsiTheme="minorHAnsi" w:cstheme="minorHAnsi"/>
          <w:b/>
          <w:i/>
          <w:color w:val="1F497D" w:themeColor="text2"/>
          <w:sz w:val="23"/>
          <w:szCs w:val="23"/>
        </w:rPr>
        <w:t xml:space="preserve">reference </w:t>
      </w:r>
      <w:r w:rsidR="00A73A4C" w:rsidRPr="00924BBD">
        <w:rPr>
          <w:rFonts w:asciiTheme="minorHAnsi" w:hAnsiTheme="minorHAnsi" w:cstheme="minorHAnsi"/>
          <w:b/>
          <w:i/>
          <w:color w:val="1F497D" w:themeColor="text2"/>
          <w:sz w:val="23"/>
          <w:szCs w:val="23"/>
        </w:rPr>
        <w:t>10/1</w:t>
      </w:r>
      <w:r w:rsidR="007959E9" w:rsidRPr="00924BBD">
        <w:rPr>
          <w:rFonts w:asciiTheme="minorHAnsi" w:hAnsiTheme="minorHAnsi" w:cstheme="minorHAnsi"/>
          <w:b/>
          <w:i/>
          <w:color w:val="1F497D" w:themeColor="text2"/>
          <w:sz w:val="23"/>
          <w:szCs w:val="23"/>
        </w:rPr>
        <w:t>2</w:t>
      </w:r>
      <w:r w:rsidR="00FA275C" w:rsidRPr="00924BBD">
        <w:rPr>
          <w:rFonts w:asciiTheme="minorHAnsi" w:hAnsiTheme="minorHAnsi" w:cstheme="minorHAnsi"/>
          <w:b/>
          <w:i/>
          <w:color w:val="1F497D" w:themeColor="text2"/>
          <w:sz w:val="23"/>
          <w:szCs w:val="23"/>
        </w:rPr>
        <w:t xml:space="preserve">, or </w:t>
      </w:r>
      <w:r w:rsidR="007959E9" w:rsidRPr="00924BBD">
        <w:rPr>
          <w:rFonts w:asciiTheme="minorHAnsi" w:hAnsiTheme="minorHAnsi" w:cstheme="minorHAnsi"/>
          <w:b/>
          <w:i/>
          <w:color w:val="1F497D" w:themeColor="text2"/>
          <w:sz w:val="23"/>
          <w:szCs w:val="23"/>
        </w:rPr>
        <w:t>83</w:t>
      </w:r>
      <w:r w:rsidR="00FA275C" w:rsidRPr="00924BBD">
        <w:rPr>
          <w:rFonts w:asciiTheme="minorHAnsi" w:hAnsiTheme="minorHAnsi" w:cstheme="minorHAnsi"/>
          <w:b/>
          <w:i/>
          <w:color w:val="1F497D" w:themeColor="text2"/>
          <w:sz w:val="23"/>
          <w:szCs w:val="23"/>
        </w:rPr>
        <w:t>%, in straw poll)</w:t>
      </w:r>
    </w:p>
    <w:p w:rsidR="00D42D6A" w:rsidRPr="00924BBD" w:rsidRDefault="00D42D6A" w:rsidP="00826E19">
      <w:pPr>
        <w:rPr>
          <w:rFonts w:asciiTheme="minorHAnsi" w:hAnsiTheme="minorHAnsi" w:cstheme="minorHAnsi"/>
          <w:b/>
          <w:sz w:val="23"/>
          <w:szCs w:val="23"/>
          <w:u w:val="single"/>
        </w:rPr>
      </w:pPr>
      <w:r w:rsidRPr="00924BBD">
        <w:rPr>
          <w:rFonts w:asciiTheme="minorHAnsi" w:hAnsiTheme="minorHAnsi" w:cstheme="minorHAnsi"/>
          <w:b/>
          <w:sz w:val="23"/>
          <w:szCs w:val="23"/>
          <w:u w:val="single"/>
        </w:rPr>
        <w:t>Data as an essential tool in quality assurance</w:t>
      </w:r>
    </w:p>
    <w:p w:rsidR="00D42D6A" w:rsidRPr="00924BBD" w:rsidRDefault="00D42D6A" w:rsidP="006111D7">
      <w:pPr>
        <w:rPr>
          <w:rFonts w:asciiTheme="minorHAnsi" w:hAnsiTheme="minorHAnsi" w:cstheme="minorHAnsi"/>
          <w:sz w:val="23"/>
          <w:szCs w:val="23"/>
        </w:rPr>
      </w:pPr>
      <w:r w:rsidRPr="00924BBD">
        <w:rPr>
          <w:rFonts w:asciiTheme="minorHAnsi" w:hAnsiTheme="minorHAnsi" w:cstheme="minorHAnsi"/>
          <w:sz w:val="23"/>
          <w:szCs w:val="23"/>
        </w:rPr>
        <w:t xml:space="preserve">While it is clear that data must be the basis on which decisions are made, there is concern that the quality assurance enterprise collects </w:t>
      </w:r>
      <w:r w:rsidR="0036687F" w:rsidRPr="00924BBD">
        <w:rPr>
          <w:rFonts w:asciiTheme="minorHAnsi" w:hAnsiTheme="minorHAnsi" w:cstheme="minorHAnsi"/>
          <w:sz w:val="23"/>
          <w:szCs w:val="23"/>
        </w:rPr>
        <w:t>more</w:t>
      </w:r>
      <w:r w:rsidRPr="00924BBD">
        <w:rPr>
          <w:rFonts w:asciiTheme="minorHAnsi" w:hAnsiTheme="minorHAnsi" w:cstheme="minorHAnsi"/>
          <w:sz w:val="23"/>
          <w:szCs w:val="23"/>
        </w:rPr>
        <w:t xml:space="preserve"> </w:t>
      </w:r>
      <w:r w:rsidR="0036687F" w:rsidRPr="00924BBD">
        <w:rPr>
          <w:rFonts w:asciiTheme="minorHAnsi" w:hAnsiTheme="minorHAnsi" w:cstheme="minorHAnsi"/>
          <w:sz w:val="23"/>
          <w:szCs w:val="23"/>
        </w:rPr>
        <w:t xml:space="preserve">and different </w:t>
      </w:r>
      <w:r w:rsidRPr="00924BBD">
        <w:rPr>
          <w:rFonts w:asciiTheme="minorHAnsi" w:hAnsiTheme="minorHAnsi" w:cstheme="minorHAnsi"/>
          <w:sz w:val="23"/>
          <w:szCs w:val="23"/>
        </w:rPr>
        <w:t xml:space="preserve">data </w:t>
      </w:r>
      <w:r w:rsidR="0036687F" w:rsidRPr="00924BBD">
        <w:rPr>
          <w:rFonts w:asciiTheme="minorHAnsi" w:hAnsiTheme="minorHAnsi" w:cstheme="minorHAnsi"/>
          <w:sz w:val="23"/>
          <w:szCs w:val="23"/>
        </w:rPr>
        <w:t xml:space="preserve">than is necessary for quality review. </w:t>
      </w:r>
      <w:r w:rsidRPr="00924BBD">
        <w:rPr>
          <w:rFonts w:asciiTheme="minorHAnsi" w:hAnsiTheme="minorHAnsi" w:cstheme="minorHAnsi"/>
          <w:sz w:val="23"/>
          <w:szCs w:val="23"/>
        </w:rPr>
        <w:t xml:space="preserve">  The usefulness of the collected data to consumers, institutions, accrediting authorities, or the federal government has been questioned</w:t>
      </w:r>
      <w:r w:rsidR="007D471C" w:rsidRPr="00924BBD">
        <w:rPr>
          <w:rFonts w:asciiTheme="minorHAnsi" w:hAnsiTheme="minorHAnsi" w:cstheme="minorHAnsi"/>
          <w:sz w:val="23"/>
          <w:szCs w:val="23"/>
        </w:rPr>
        <w:t>, especially given the inconsistency among definitions that limit data comparability and policy reliance</w:t>
      </w:r>
      <w:r w:rsidRPr="00924BBD">
        <w:rPr>
          <w:rFonts w:asciiTheme="minorHAnsi" w:hAnsiTheme="minorHAnsi" w:cstheme="minorHAnsi"/>
          <w:sz w:val="23"/>
          <w:szCs w:val="23"/>
        </w:rPr>
        <w:t xml:space="preserve">.   While some data may be useful to some parties, the burden of acquiring that data may be too high for its utility, the data </w:t>
      </w:r>
      <w:r w:rsidR="0036687F" w:rsidRPr="00924BBD">
        <w:rPr>
          <w:rFonts w:asciiTheme="minorHAnsi" w:hAnsiTheme="minorHAnsi" w:cstheme="minorHAnsi"/>
          <w:sz w:val="23"/>
          <w:szCs w:val="23"/>
        </w:rPr>
        <w:t>are</w:t>
      </w:r>
      <w:r w:rsidRPr="00924BBD">
        <w:rPr>
          <w:rFonts w:asciiTheme="minorHAnsi" w:hAnsiTheme="minorHAnsi" w:cstheme="minorHAnsi"/>
          <w:sz w:val="23"/>
          <w:szCs w:val="23"/>
        </w:rPr>
        <w:t xml:space="preserve"> not available to consumers in a manner that is useful to them, or both.  </w:t>
      </w:r>
      <w:r w:rsidR="00CE352F" w:rsidRPr="00924BBD">
        <w:rPr>
          <w:rFonts w:asciiTheme="minorHAnsi" w:hAnsiTheme="minorHAnsi" w:cstheme="minorHAnsi"/>
          <w:sz w:val="23"/>
          <w:szCs w:val="23"/>
        </w:rPr>
        <w:t>Our recommendations concerning data include:</w:t>
      </w:r>
    </w:p>
    <w:p w:rsidR="00D42D6A" w:rsidRPr="00924BBD" w:rsidRDefault="0036687F" w:rsidP="0036687F">
      <w:pPr>
        <w:pStyle w:val="ListParagraph"/>
        <w:numPr>
          <w:ilvl w:val="0"/>
          <w:numId w:val="9"/>
        </w:numPr>
        <w:rPr>
          <w:rFonts w:asciiTheme="minorHAnsi" w:hAnsiTheme="minorHAnsi" w:cstheme="minorHAnsi"/>
          <w:sz w:val="23"/>
          <w:szCs w:val="23"/>
        </w:rPr>
      </w:pPr>
      <w:r w:rsidRPr="00924BBD">
        <w:rPr>
          <w:rFonts w:asciiTheme="minorHAnsi" w:hAnsiTheme="minorHAnsi" w:cstheme="minorHAnsi"/>
          <w:sz w:val="23"/>
          <w:szCs w:val="23"/>
        </w:rPr>
        <w:t xml:space="preserve"> </w:t>
      </w:r>
      <w:r w:rsidR="00D42D6A" w:rsidRPr="00924BBD">
        <w:rPr>
          <w:rFonts w:asciiTheme="minorHAnsi" w:hAnsiTheme="minorHAnsi" w:cstheme="minorHAnsi"/>
          <w:sz w:val="23"/>
          <w:szCs w:val="23"/>
        </w:rPr>
        <w:t>Reconsider data that are collected by all accreditation, state, and federal agencies.  In this reconsideration, evaluate the costs of data collection relative</w:t>
      </w:r>
      <w:r w:rsidRPr="00924BBD">
        <w:rPr>
          <w:rFonts w:asciiTheme="minorHAnsi" w:hAnsiTheme="minorHAnsi" w:cstheme="minorHAnsi"/>
          <w:sz w:val="23"/>
          <w:szCs w:val="23"/>
        </w:rPr>
        <w:t xml:space="preserve"> to its utility and appropriate use.  </w:t>
      </w:r>
      <w:r w:rsidR="00FA275C" w:rsidRPr="00924BBD">
        <w:rPr>
          <w:rFonts w:asciiTheme="minorHAnsi" w:hAnsiTheme="minorHAnsi" w:cstheme="minorHAnsi"/>
          <w:b/>
          <w:i/>
          <w:color w:val="1F497D" w:themeColor="text2"/>
          <w:sz w:val="23"/>
          <w:szCs w:val="23"/>
        </w:rPr>
        <w:t>(</w:t>
      </w:r>
      <w:r w:rsidRPr="00924BBD">
        <w:rPr>
          <w:rFonts w:asciiTheme="minorHAnsi" w:hAnsiTheme="minorHAnsi" w:cstheme="minorHAnsi"/>
          <w:b/>
          <w:i/>
          <w:color w:val="1F497D" w:themeColor="text2"/>
          <w:sz w:val="23"/>
          <w:szCs w:val="23"/>
        </w:rPr>
        <w:t>modified, formerly “</w:t>
      </w:r>
      <w:r w:rsidR="005E1F14" w:rsidRPr="00924BBD">
        <w:rPr>
          <w:rFonts w:asciiTheme="minorHAnsi" w:hAnsiTheme="minorHAnsi" w:cstheme="minorHAnsi"/>
          <w:b/>
          <w:i/>
          <w:color w:val="1F497D" w:themeColor="text2"/>
          <w:sz w:val="23"/>
          <w:szCs w:val="23"/>
        </w:rPr>
        <w:t>Option 18”</w:t>
      </w:r>
      <w:r w:rsidRPr="00924BBD">
        <w:rPr>
          <w:rFonts w:asciiTheme="minorHAnsi" w:hAnsiTheme="minorHAnsi" w:cstheme="minorHAnsi"/>
          <w:b/>
          <w:i/>
          <w:color w:val="1F497D" w:themeColor="text2"/>
          <w:sz w:val="23"/>
          <w:szCs w:val="23"/>
        </w:rPr>
        <w:t>--</w:t>
      </w:r>
      <w:r w:rsidR="00FA275C" w:rsidRPr="00924BBD">
        <w:rPr>
          <w:rFonts w:asciiTheme="minorHAnsi" w:hAnsiTheme="minorHAnsi" w:cstheme="minorHAnsi"/>
          <w:b/>
          <w:i/>
          <w:color w:val="1F497D" w:themeColor="text2"/>
          <w:sz w:val="23"/>
          <w:szCs w:val="23"/>
        </w:rPr>
        <w:t xml:space="preserve">reference </w:t>
      </w:r>
      <w:r w:rsidR="007959E9" w:rsidRPr="00924BBD">
        <w:rPr>
          <w:rFonts w:asciiTheme="minorHAnsi" w:hAnsiTheme="minorHAnsi" w:cstheme="minorHAnsi"/>
          <w:b/>
          <w:i/>
          <w:color w:val="1F497D" w:themeColor="text2"/>
          <w:sz w:val="23"/>
          <w:szCs w:val="23"/>
        </w:rPr>
        <w:t>12/12</w:t>
      </w:r>
      <w:r w:rsidR="00FA275C" w:rsidRPr="00924BBD">
        <w:rPr>
          <w:rFonts w:asciiTheme="minorHAnsi" w:hAnsiTheme="minorHAnsi" w:cstheme="minorHAnsi"/>
          <w:b/>
          <w:i/>
          <w:color w:val="1F497D" w:themeColor="text2"/>
          <w:sz w:val="23"/>
          <w:szCs w:val="23"/>
        </w:rPr>
        <w:t xml:space="preserve">, or </w:t>
      </w:r>
      <w:r w:rsidRPr="00924BBD">
        <w:rPr>
          <w:rFonts w:asciiTheme="minorHAnsi" w:hAnsiTheme="minorHAnsi" w:cstheme="minorHAnsi"/>
          <w:b/>
          <w:i/>
          <w:color w:val="1F497D" w:themeColor="text2"/>
          <w:sz w:val="23"/>
          <w:szCs w:val="23"/>
        </w:rPr>
        <w:t>100</w:t>
      </w:r>
      <w:r w:rsidR="00FA275C" w:rsidRPr="00924BBD">
        <w:rPr>
          <w:rFonts w:asciiTheme="minorHAnsi" w:hAnsiTheme="minorHAnsi" w:cstheme="minorHAnsi"/>
          <w:b/>
          <w:i/>
          <w:color w:val="1F497D" w:themeColor="text2"/>
          <w:sz w:val="23"/>
          <w:szCs w:val="23"/>
        </w:rPr>
        <w:t>%, in straw poll)</w:t>
      </w:r>
    </w:p>
    <w:p w:rsidR="00D42D6A" w:rsidRPr="00924BBD" w:rsidRDefault="00D42D6A" w:rsidP="005E1F14">
      <w:pPr>
        <w:pStyle w:val="ListParagraph"/>
        <w:numPr>
          <w:ilvl w:val="0"/>
          <w:numId w:val="9"/>
        </w:numPr>
        <w:rPr>
          <w:rFonts w:asciiTheme="minorHAnsi" w:hAnsiTheme="minorHAnsi" w:cstheme="minorHAnsi"/>
          <w:sz w:val="23"/>
          <w:szCs w:val="23"/>
        </w:rPr>
      </w:pPr>
      <w:r w:rsidRPr="00924BBD">
        <w:rPr>
          <w:rFonts w:asciiTheme="minorHAnsi" w:hAnsiTheme="minorHAnsi" w:cstheme="minorHAnsi"/>
          <w:sz w:val="23"/>
          <w:szCs w:val="23"/>
        </w:rPr>
        <w:t>Wherever possible and of value</w:t>
      </w:r>
      <w:r w:rsidR="005E1F14" w:rsidRPr="00924BBD">
        <w:rPr>
          <w:rFonts w:asciiTheme="minorHAnsi" w:hAnsiTheme="minorHAnsi" w:cstheme="minorHAnsi"/>
          <w:sz w:val="23"/>
          <w:szCs w:val="23"/>
        </w:rPr>
        <w:t>,</w:t>
      </w:r>
      <w:r w:rsidRPr="00924BBD">
        <w:rPr>
          <w:rFonts w:asciiTheme="minorHAnsi" w:hAnsiTheme="minorHAnsi" w:cstheme="minorHAnsi"/>
          <w:sz w:val="23"/>
          <w:szCs w:val="23"/>
        </w:rPr>
        <w:t xml:space="preserve"> share data provided to and analysis conducted by the federal government (e.g., regarding institutional financial responsibility) to assist accreditors </w:t>
      </w:r>
      <w:r w:rsidRPr="00924BBD">
        <w:rPr>
          <w:rFonts w:asciiTheme="minorHAnsi" w:hAnsiTheme="minorHAnsi" w:cstheme="minorHAnsi"/>
          <w:sz w:val="23"/>
          <w:szCs w:val="23"/>
        </w:rPr>
        <w:lastRenderedPageBreak/>
        <w:t xml:space="preserve">in reviews </w:t>
      </w:r>
      <w:r w:rsidR="00FA275C" w:rsidRPr="00924BBD">
        <w:rPr>
          <w:rFonts w:asciiTheme="minorHAnsi" w:hAnsiTheme="minorHAnsi" w:cstheme="minorHAnsi"/>
          <w:b/>
          <w:i/>
          <w:color w:val="1F497D" w:themeColor="text2"/>
          <w:sz w:val="23"/>
          <w:szCs w:val="23"/>
        </w:rPr>
        <w:t>(</w:t>
      </w:r>
      <w:r w:rsidR="005E1F14" w:rsidRPr="00924BBD">
        <w:rPr>
          <w:rFonts w:asciiTheme="minorHAnsi" w:hAnsiTheme="minorHAnsi" w:cstheme="minorHAnsi"/>
          <w:b/>
          <w:i/>
          <w:color w:val="1F497D" w:themeColor="text2"/>
          <w:sz w:val="23"/>
          <w:szCs w:val="23"/>
        </w:rPr>
        <w:t>modified (just the “risk assessment” language) formerly “option 19”--</w:t>
      </w:r>
      <w:r w:rsidR="00FA275C" w:rsidRPr="00924BBD">
        <w:rPr>
          <w:rFonts w:asciiTheme="minorHAnsi" w:hAnsiTheme="minorHAnsi" w:cstheme="minorHAnsi"/>
          <w:b/>
          <w:i/>
          <w:color w:val="1F497D" w:themeColor="text2"/>
          <w:sz w:val="23"/>
          <w:szCs w:val="23"/>
        </w:rPr>
        <w:t xml:space="preserve">reference </w:t>
      </w:r>
      <w:r w:rsidR="007959E9" w:rsidRPr="00924BBD">
        <w:rPr>
          <w:rFonts w:asciiTheme="minorHAnsi" w:hAnsiTheme="minorHAnsi" w:cstheme="minorHAnsi"/>
          <w:b/>
          <w:i/>
          <w:color w:val="1F497D" w:themeColor="text2"/>
          <w:sz w:val="23"/>
          <w:szCs w:val="23"/>
        </w:rPr>
        <w:t>11/12</w:t>
      </w:r>
      <w:r w:rsidR="00FA275C" w:rsidRPr="00924BBD">
        <w:rPr>
          <w:rFonts w:asciiTheme="minorHAnsi" w:hAnsiTheme="minorHAnsi" w:cstheme="minorHAnsi"/>
          <w:b/>
          <w:i/>
          <w:color w:val="1F497D" w:themeColor="text2"/>
          <w:sz w:val="23"/>
          <w:szCs w:val="23"/>
        </w:rPr>
        <w:t xml:space="preserve">, or </w:t>
      </w:r>
      <w:r w:rsidR="005E1F14" w:rsidRPr="00924BBD">
        <w:rPr>
          <w:rFonts w:asciiTheme="minorHAnsi" w:hAnsiTheme="minorHAnsi" w:cstheme="minorHAnsi"/>
          <w:b/>
          <w:i/>
          <w:color w:val="1F497D" w:themeColor="text2"/>
          <w:sz w:val="23"/>
          <w:szCs w:val="23"/>
        </w:rPr>
        <w:t>9</w:t>
      </w:r>
      <w:r w:rsidR="007959E9" w:rsidRPr="00924BBD">
        <w:rPr>
          <w:rFonts w:asciiTheme="minorHAnsi" w:hAnsiTheme="minorHAnsi" w:cstheme="minorHAnsi"/>
          <w:b/>
          <w:i/>
          <w:color w:val="1F497D" w:themeColor="text2"/>
          <w:sz w:val="23"/>
          <w:szCs w:val="23"/>
        </w:rPr>
        <w:t>2</w:t>
      </w:r>
      <w:r w:rsidR="00FA275C" w:rsidRPr="00924BBD">
        <w:rPr>
          <w:rFonts w:asciiTheme="minorHAnsi" w:hAnsiTheme="minorHAnsi" w:cstheme="minorHAnsi"/>
          <w:b/>
          <w:i/>
          <w:color w:val="1F497D" w:themeColor="text2"/>
          <w:sz w:val="23"/>
          <w:szCs w:val="23"/>
        </w:rPr>
        <w:t>%, in straw poll)</w:t>
      </w:r>
    </w:p>
    <w:p w:rsidR="00513FB4" w:rsidRPr="00924BBD" w:rsidRDefault="00513FB4" w:rsidP="00513FB4">
      <w:pPr>
        <w:pStyle w:val="ListParagraph"/>
        <w:numPr>
          <w:ilvl w:val="0"/>
          <w:numId w:val="9"/>
        </w:numPr>
        <w:rPr>
          <w:rFonts w:asciiTheme="minorHAnsi" w:hAnsiTheme="minorHAnsi" w:cstheme="minorHAnsi"/>
          <w:sz w:val="23"/>
          <w:szCs w:val="23"/>
        </w:rPr>
      </w:pPr>
      <w:r w:rsidRPr="00924BBD">
        <w:rPr>
          <w:rFonts w:asciiTheme="minorHAnsi" w:hAnsiTheme="minorHAnsi" w:cstheme="minorHAnsi"/>
          <w:sz w:val="23"/>
          <w:szCs w:val="23"/>
        </w:rPr>
        <w:t>From the above reconsideration of data, costs and benefits, define a specific set of data that is needed as a minimum to address (a) federal interest and/or (b) institutional improvement.  This would entail</w:t>
      </w:r>
      <w:r w:rsidRPr="00924BBD">
        <w:rPr>
          <w:rFonts w:asciiTheme="minorHAnsi" w:hAnsiTheme="minorHAnsi" w:cstheme="minorHAnsi"/>
          <w:b/>
          <w:i/>
          <w:color w:val="1F497D" w:themeColor="text2"/>
          <w:sz w:val="23"/>
          <w:szCs w:val="23"/>
        </w:rPr>
        <w:t>:     (modified from prior “option 20”--reference 10/11, or 91%, in straw poll)</w:t>
      </w:r>
    </w:p>
    <w:p w:rsidR="00513FB4" w:rsidRPr="00924BBD" w:rsidRDefault="00513FB4" w:rsidP="00513FB4">
      <w:pPr>
        <w:pStyle w:val="ListParagraph"/>
        <w:numPr>
          <w:ilvl w:val="0"/>
          <w:numId w:val="12"/>
        </w:numPr>
        <w:rPr>
          <w:rFonts w:asciiTheme="minorHAnsi" w:hAnsiTheme="minorHAnsi" w:cstheme="minorHAnsi"/>
          <w:sz w:val="23"/>
          <w:szCs w:val="23"/>
        </w:rPr>
      </w:pPr>
      <w:r w:rsidRPr="00924BBD">
        <w:rPr>
          <w:rFonts w:asciiTheme="minorHAnsi" w:hAnsiTheme="minorHAnsi" w:cstheme="minorHAnsi"/>
          <w:sz w:val="23"/>
          <w:szCs w:val="23"/>
        </w:rPr>
        <w:t xml:space="preserve">Developing a set of consistent definitions and appropriate metrics for use in the accreditation process.  Achieving convergence of agreement about </w:t>
      </w:r>
      <w:r w:rsidRPr="00924BBD">
        <w:rPr>
          <w:rFonts w:asciiTheme="minorHAnsi" w:hAnsiTheme="minorHAnsi" w:cstheme="minorHAnsi"/>
          <w:iCs/>
          <w:sz w:val="23"/>
          <w:szCs w:val="23"/>
        </w:rPr>
        <w:t>definitions</w:t>
      </w:r>
      <w:r w:rsidRPr="00924BBD">
        <w:rPr>
          <w:rFonts w:asciiTheme="minorHAnsi" w:hAnsiTheme="minorHAnsi" w:cstheme="minorHAnsi"/>
          <w:sz w:val="23"/>
          <w:szCs w:val="23"/>
        </w:rPr>
        <w:t xml:space="preserve"> may—without altering the state regulatory authority or interest—assist states in becoming more aligned in their regulations and thereby provide institutions whose activity crosses borders with fewer divergent data demands.</w:t>
      </w:r>
      <w:r w:rsidRPr="00924BBD">
        <w:rPr>
          <w:rFonts w:asciiTheme="minorHAnsi" w:hAnsiTheme="minorHAnsi" w:cstheme="minorHAnsi"/>
          <w:i/>
          <w:color w:val="FF0000"/>
          <w:sz w:val="23"/>
          <w:szCs w:val="23"/>
        </w:rPr>
        <w:t xml:space="preserve"> </w:t>
      </w:r>
      <w:r w:rsidRPr="00924BBD">
        <w:rPr>
          <w:rFonts w:asciiTheme="minorHAnsi" w:hAnsiTheme="minorHAnsi" w:cstheme="minorHAnsi"/>
          <w:b/>
          <w:i/>
          <w:color w:val="1F497D" w:themeColor="text2"/>
          <w:sz w:val="23"/>
          <w:szCs w:val="23"/>
        </w:rPr>
        <w:t>(formerly “option 7”--reference 5/8, or 62%, in straw poll;  suggested move to join with “option 20”)</w:t>
      </w:r>
    </w:p>
    <w:p w:rsidR="00513FB4" w:rsidRPr="00924BBD" w:rsidRDefault="007D471C" w:rsidP="00513FB4">
      <w:pPr>
        <w:pStyle w:val="ListParagraph"/>
        <w:numPr>
          <w:ilvl w:val="0"/>
          <w:numId w:val="12"/>
        </w:numPr>
        <w:rPr>
          <w:rFonts w:asciiTheme="minorHAnsi" w:hAnsiTheme="minorHAnsi" w:cstheme="minorHAnsi"/>
          <w:sz w:val="23"/>
          <w:szCs w:val="23"/>
        </w:rPr>
      </w:pPr>
      <w:r w:rsidRPr="00924BBD">
        <w:rPr>
          <w:rFonts w:asciiTheme="minorHAnsi" w:hAnsiTheme="minorHAnsi" w:cstheme="minorHAnsi"/>
          <w:sz w:val="23"/>
          <w:szCs w:val="23"/>
        </w:rPr>
        <w:t>Insuring</w:t>
      </w:r>
      <w:r w:rsidR="00513FB4" w:rsidRPr="00924BBD">
        <w:rPr>
          <w:rFonts w:asciiTheme="minorHAnsi" w:hAnsiTheme="minorHAnsi" w:cstheme="minorHAnsi"/>
          <w:sz w:val="23"/>
          <w:szCs w:val="23"/>
        </w:rPr>
        <w:t xml:space="preserve"> that this data is accurate, reliable, valid, and consistent across institutions, without specifying minimum thresholds to be applied across all institutions.  All data requirements should account for distance education modalities.  </w:t>
      </w:r>
    </w:p>
    <w:p w:rsidR="00513FB4" w:rsidRPr="00924BBD" w:rsidRDefault="00513FB4" w:rsidP="00513FB4">
      <w:pPr>
        <w:pStyle w:val="ListParagraph"/>
        <w:numPr>
          <w:ilvl w:val="0"/>
          <w:numId w:val="12"/>
        </w:numPr>
        <w:rPr>
          <w:rFonts w:asciiTheme="minorHAnsi" w:hAnsiTheme="minorHAnsi" w:cstheme="minorHAnsi"/>
          <w:sz w:val="23"/>
          <w:szCs w:val="23"/>
        </w:rPr>
      </w:pPr>
      <w:r w:rsidRPr="00924BBD">
        <w:rPr>
          <w:rFonts w:asciiTheme="minorHAnsi" w:hAnsiTheme="minorHAnsi" w:cstheme="minorHAnsi"/>
          <w:sz w:val="23"/>
          <w:szCs w:val="23"/>
        </w:rPr>
        <w:t>The specific set of minimum data would not preclude accreditors from requiring data appropriate for their philosophy and specialty.  Accrediting agencies can and should consider what additional data is needed for the function of continuous institutional improvement.  However, additional requirements for data collection should be developed with an assessment of its burdens and sufficient lead time for the data to be compiled.</w:t>
      </w:r>
    </w:p>
    <w:p w:rsidR="00D42D6A" w:rsidRPr="00924BBD" w:rsidRDefault="00D42D6A" w:rsidP="005E1F14">
      <w:pPr>
        <w:pStyle w:val="ListParagraph"/>
        <w:numPr>
          <w:ilvl w:val="0"/>
          <w:numId w:val="9"/>
        </w:numPr>
        <w:rPr>
          <w:rFonts w:asciiTheme="minorHAnsi" w:hAnsiTheme="minorHAnsi" w:cstheme="minorHAnsi"/>
          <w:sz w:val="23"/>
          <w:szCs w:val="23"/>
        </w:rPr>
      </w:pPr>
      <w:r w:rsidRPr="00924BBD">
        <w:rPr>
          <w:rFonts w:asciiTheme="minorHAnsi" w:hAnsiTheme="minorHAnsi" w:cstheme="minorHAnsi"/>
          <w:sz w:val="23"/>
          <w:szCs w:val="23"/>
        </w:rPr>
        <w:t xml:space="preserve">A data set with common definitions might beneficially include data on such outcomes as completion/graduation, licensure (where appropriate), job placement, and/or other indices of career progress.  Note that this consideration does not include specification of student learning outcome measures, nor of uniform thresholds on any measure to be applied across all institutions. </w:t>
      </w:r>
      <w:r w:rsidR="00FA275C" w:rsidRPr="00924BBD">
        <w:rPr>
          <w:rFonts w:asciiTheme="minorHAnsi" w:hAnsiTheme="minorHAnsi" w:cstheme="minorHAnsi"/>
          <w:b/>
          <w:color w:val="1F497D" w:themeColor="text2"/>
          <w:sz w:val="23"/>
          <w:szCs w:val="23"/>
        </w:rPr>
        <w:t>(</w:t>
      </w:r>
      <w:r w:rsidR="005E1F14" w:rsidRPr="00924BBD">
        <w:rPr>
          <w:rFonts w:asciiTheme="minorHAnsi" w:hAnsiTheme="minorHAnsi" w:cstheme="minorHAnsi"/>
          <w:b/>
          <w:color w:val="1F497D" w:themeColor="text2"/>
          <w:sz w:val="23"/>
          <w:szCs w:val="23"/>
        </w:rPr>
        <w:t>formerly “Option 21”--</w:t>
      </w:r>
      <w:r w:rsidR="00FA275C" w:rsidRPr="00924BBD">
        <w:rPr>
          <w:rFonts w:asciiTheme="minorHAnsi" w:hAnsiTheme="minorHAnsi" w:cstheme="minorHAnsi"/>
          <w:b/>
          <w:color w:val="1F497D" w:themeColor="text2"/>
          <w:sz w:val="23"/>
          <w:szCs w:val="23"/>
        </w:rPr>
        <w:t xml:space="preserve">reference </w:t>
      </w:r>
      <w:r w:rsidR="007959E9" w:rsidRPr="00924BBD">
        <w:rPr>
          <w:rFonts w:asciiTheme="minorHAnsi" w:hAnsiTheme="minorHAnsi" w:cstheme="minorHAnsi"/>
          <w:b/>
          <w:color w:val="1F497D" w:themeColor="text2"/>
          <w:sz w:val="23"/>
          <w:szCs w:val="23"/>
        </w:rPr>
        <w:t>7/12</w:t>
      </w:r>
      <w:r w:rsidR="00FA275C" w:rsidRPr="00924BBD">
        <w:rPr>
          <w:rFonts w:asciiTheme="minorHAnsi" w:hAnsiTheme="minorHAnsi" w:cstheme="minorHAnsi"/>
          <w:b/>
          <w:color w:val="1F497D" w:themeColor="text2"/>
          <w:sz w:val="23"/>
          <w:szCs w:val="23"/>
        </w:rPr>
        <w:t xml:space="preserve">, or </w:t>
      </w:r>
      <w:r w:rsidR="007959E9" w:rsidRPr="00924BBD">
        <w:rPr>
          <w:rFonts w:asciiTheme="minorHAnsi" w:hAnsiTheme="minorHAnsi" w:cstheme="minorHAnsi"/>
          <w:b/>
          <w:color w:val="1F497D" w:themeColor="text2"/>
          <w:sz w:val="23"/>
          <w:szCs w:val="23"/>
        </w:rPr>
        <w:t>58</w:t>
      </w:r>
      <w:r w:rsidR="00FA275C" w:rsidRPr="00924BBD">
        <w:rPr>
          <w:rFonts w:asciiTheme="minorHAnsi" w:hAnsiTheme="minorHAnsi" w:cstheme="minorHAnsi"/>
          <w:b/>
          <w:color w:val="1F497D" w:themeColor="text2"/>
          <w:sz w:val="23"/>
          <w:szCs w:val="23"/>
        </w:rPr>
        <w:t>%, in straw poll)</w:t>
      </w:r>
    </w:p>
    <w:p w:rsidR="00D42D6A" w:rsidRPr="00924BBD" w:rsidRDefault="005E1F14" w:rsidP="005E1F14">
      <w:pPr>
        <w:pStyle w:val="ListParagraph"/>
        <w:numPr>
          <w:ilvl w:val="0"/>
          <w:numId w:val="9"/>
        </w:numPr>
        <w:rPr>
          <w:rFonts w:asciiTheme="minorHAnsi" w:hAnsiTheme="minorHAnsi" w:cstheme="minorHAnsi"/>
          <w:sz w:val="23"/>
          <w:szCs w:val="23"/>
        </w:rPr>
      </w:pPr>
      <w:r w:rsidRPr="00924BBD">
        <w:rPr>
          <w:rFonts w:asciiTheme="minorHAnsi" w:hAnsiTheme="minorHAnsi" w:cstheme="minorHAnsi"/>
          <w:sz w:val="23"/>
          <w:szCs w:val="23"/>
        </w:rPr>
        <w:t>T</w:t>
      </w:r>
      <w:r w:rsidR="00D42D6A" w:rsidRPr="00924BBD">
        <w:rPr>
          <w:rFonts w:asciiTheme="minorHAnsi" w:hAnsiTheme="minorHAnsi" w:cstheme="minorHAnsi"/>
          <w:sz w:val="23"/>
          <w:szCs w:val="23"/>
        </w:rPr>
        <w:t xml:space="preserve">he reliability of data is so central to eligibility and to consumer decisions that it may be appropriate for critical data elements to be independently audited under specified circumstances. It may also be appropriate to review the penalties for submission of fraudulent, inaccurate, or misleading data. </w:t>
      </w:r>
      <w:r w:rsidR="00FA275C" w:rsidRPr="00924BBD">
        <w:rPr>
          <w:rFonts w:asciiTheme="minorHAnsi" w:hAnsiTheme="minorHAnsi" w:cstheme="minorHAnsi"/>
          <w:b/>
          <w:color w:val="1F497D" w:themeColor="text2"/>
          <w:sz w:val="23"/>
          <w:szCs w:val="23"/>
        </w:rPr>
        <w:t>(</w:t>
      </w:r>
      <w:r w:rsidRPr="00924BBD">
        <w:rPr>
          <w:rFonts w:asciiTheme="minorHAnsi" w:hAnsiTheme="minorHAnsi" w:cstheme="minorHAnsi"/>
          <w:b/>
          <w:color w:val="1F497D" w:themeColor="text2"/>
          <w:sz w:val="23"/>
          <w:szCs w:val="23"/>
        </w:rPr>
        <w:t>modified former “option 23”--</w:t>
      </w:r>
      <w:r w:rsidR="00FA275C" w:rsidRPr="00924BBD">
        <w:rPr>
          <w:rFonts w:asciiTheme="minorHAnsi" w:hAnsiTheme="minorHAnsi" w:cstheme="minorHAnsi"/>
          <w:b/>
          <w:color w:val="1F497D" w:themeColor="text2"/>
          <w:sz w:val="23"/>
          <w:szCs w:val="23"/>
        </w:rPr>
        <w:t xml:space="preserve">reference </w:t>
      </w:r>
      <w:r w:rsidR="007959E9" w:rsidRPr="00924BBD">
        <w:rPr>
          <w:rFonts w:asciiTheme="minorHAnsi" w:hAnsiTheme="minorHAnsi" w:cstheme="minorHAnsi"/>
          <w:b/>
          <w:color w:val="1F497D" w:themeColor="text2"/>
          <w:sz w:val="23"/>
          <w:szCs w:val="23"/>
        </w:rPr>
        <w:t>10/12</w:t>
      </w:r>
      <w:r w:rsidR="00FA275C" w:rsidRPr="00924BBD">
        <w:rPr>
          <w:rFonts w:asciiTheme="minorHAnsi" w:hAnsiTheme="minorHAnsi" w:cstheme="minorHAnsi"/>
          <w:b/>
          <w:color w:val="1F497D" w:themeColor="text2"/>
          <w:sz w:val="23"/>
          <w:szCs w:val="23"/>
        </w:rPr>
        <w:t xml:space="preserve">, or </w:t>
      </w:r>
      <w:r w:rsidRPr="00924BBD">
        <w:rPr>
          <w:rFonts w:asciiTheme="minorHAnsi" w:hAnsiTheme="minorHAnsi" w:cstheme="minorHAnsi"/>
          <w:b/>
          <w:color w:val="1F497D" w:themeColor="text2"/>
          <w:sz w:val="23"/>
          <w:szCs w:val="23"/>
        </w:rPr>
        <w:t>9</w:t>
      </w:r>
      <w:r w:rsidR="007959E9" w:rsidRPr="00924BBD">
        <w:rPr>
          <w:rFonts w:asciiTheme="minorHAnsi" w:hAnsiTheme="minorHAnsi" w:cstheme="minorHAnsi"/>
          <w:b/>
          <w:color w:val="1F497D" w:themeColor="text2"/>
          <w:sz w:val="23"/>
          <w:szCs w:val="23"/>
        </w:rPr>
        <w:t>2</w:t>
      </w:r>
      <w:r w:rsidR="00FA275C" w:rsidRPr="00924BBD">
        <w:rPr>
          <w:rFonts w:asciiTheme="minorHAnsi" w:hAnsiTheme="minorHAnsi" w:cstheme="minorHAnsi"/>
          <w:b/>
          <w:color w:val="1F497D" w:themeColor="text2"/>
          <w:sz w:val="23"/>
          <w:szCs w:val="23"/>
        </w:rPr>
        <w:t>%, in straw poll)</w:t>
      </w:r>
    </w:p>
    <w:p w:rsidR="000E119F" w:rsidRPr="00924BBD" w:rsidRDefault="00D42D6A" w:rsidP="004C1AB6">
      <w:pPr>
        <w:pStyle w:val="ListParagraph"/>
        <w:numPr>
          <w:ilvl w:val="0"/>
          <w:numId w:val="9"/>
        </w:numPr>
        <w:rPr>
          <w:rFonts w:asciiTheme="minorHAnsi" w:hAnsiTheme="minorHAnsi" w:cstheme="minorHAnsi"/>
          <w:sz w:val="23"/>
          <w:szCs w:val="23"/>
        </w:rPr>
      </w:pPr>
      <w:r w:rsidRPr="00924BBD">
        <w:rPr>
          <w:rFonts w:asciiTheme="minorHAnsi" w:hAnsiTheme="minorHAnsi" w:cstheme="minorHAnsi"/>
          <w:sz w:val="23"/>
          <w:szCs w:val="23"/>
        </w:rPr>
        <w:t xml:space="preserve">Some types of data may require </w:t>
      </w:r>
      <w:r w:rsidR="007D471C" w:rsidRPr="00924BBD">
        <w:rPr>
          <w:rFonts w:asciiTheme="minorHAnsi" w:hAnsiTheme="minorHAnsi" w:cstheme="minorHAnsi"/>
          <w:sz w:val="23"/>
          <w:szCs w:val="23"/>
        </w:rPr>
        <w:t xml:space="preserve">that </w:t>
      </w:r>
      <w:r w:rsidRPr="00924BBD">
        <w:rPr>
          <w:rFonts w:asciiTheme="minorHAnsi" w:hAnsiTheme="minorHAnsi" w:cstheme="minorHAnsi"/>
          <w:sz w:val="23"/>
          <w:szCs w:val="23"/>
        </w:rPr>
        <w:t xml:space="preserve">systems be developed in order to compile the information in a manner that protects privacy of individuals appropriately. </w:t>
      </w:r>
      <w:r w:rsidR="00FA275C" w:rsidRPr="00924BBD">
        <w:rPr>
          <w:rFonts w:asciiTheme="minorHAnsi" w:hAnsiTheme="minorHAnsi" w:cstheme="minorHAnsi"/>
          <w:b/>
          <w:color w:val="1F497D" w:themeColor="text2"/>
          <w:sz w:val="23"/>
          <w:szCs w:val="23"/>
        </w:rPr>
        <w:t>(</w:t>
      </w:r>
      <w:r w:rsidR="004C1AB6" w:rsidRPr="00924BBD">
        <w:rPr>
          <w:rFonts w:asciiTheme="minorHAnsi" w:hAnsiTheme="minorHAnsi" w:cstheme="minorHAnsi"/>
          <w:b/>
          <w:color w:val="1F497D" w:themeColor="text2"/>
          <w:sz w:val="23"/>
          <w:szCs w:val="23"/>
        </w:rPr>
        <w:t>formerly “option 24”--</w:t>
      </w:r>
      <w:r w:rsidR="00FA275C" w:rsidRPr="00924BBD">
        <w:rPr>
          <w:rFonts w:asciiTheme="minorHAnsi" w:hAnsiTheme="minorHAnsi" w:cstheme="minorHAnsi"/>
          <w:b/>
          <w:color w:val="1F497D" w:themeColor="text2"/>
          <w:sz w:val="23"/>
          <w:szCs w:val="23"/>
        </w:rPr>
        <w:t xml:space="preserve">reference </w:t>
      </w:r>
      <w:r w:rsidR="007959E9" w:rsidRPr="00924BBD">
        <w:rPr>
          <w:rFonts w:asciiTheme="minorHAnsi" w:hAnsiTheme="minorHAnsi" w:cstheme="minorHAnsi"/>
          <w:b/>
          <w:color w:val="1F497D" w:themeColor="text2"/>
          <w:sz w:val="23"/>
          <w:szCs w:val="23"/>
        </w:rPr>
        <w:t>9/11</w:t>
      </w:r>
      <w:r w:rsidR="00FA275C" w:rsidRPr="00924BBD">
        <w:rPr>
          <w:rFonts w:asciiTheme="minorHAnsi" w:hAnsiTheme="minorHAnsi" w:cstheme="minorHAnsi"/>
          <w:b/>
          <w:color w:val="1F497D" w:themeColor="text2"/>
          <w:sz w:val="23"/>
          <w:szCs w:val="23"/>
        </w:rPr>
        <w:t xml:space="preserve">, or </w:t>
      </w:r>
      <w:r w:rsidR="007959E9" w:rsidRPr="00924BBD">
        <w:rPr>
          <w:rFonts w:asciiTheme="minorHAnsi" w:hAnsiTheme="minorHAnsi" w:cstheme="minorHAnsi"/>
          <w:b/>
          <w:color w:val="1F497D" w:themeColor="text2"/>
          <w:sz w:val="23"/>
          <w:szCs w:val="23"/>
        </w:rPr>
        <w:t>82</w:t>
      </w:r>
      <w:r w:rsidR="00FA275C" w:rsidRPr="00924BBD">
        <w:rPr>
          <w:rFonts w:asciiTheme="minorHAnsi" w:hAnsiTheme="minorHAnsi" w:cstheme="minorHAnsi"/>
          <w:b/>
          <w:color w:val="1F497D" w:themeColor="text2"/>
          <w:sz w:val="23"/>
          <w:szCs w:val="23"/>
        </w:rPr>
        <w:t>%, in straw poll)</w:t>
      </w:r>
      <w:r w:rsidR="000E119F" w:rsidRPr="00924BBD">
        <w:rPr>
          <w:rFonts w:asciiTheme="minorHAnsi" w:hAnsiTheme="minorHAnsi" w:cstheme="minorHAnsi"/>
          <w:sz w:val="23"/>
          <w:szCs w:val="23"/>
        </w:rPr>
        <w:t xml:space="preserve">  Completion (graduation) data could be gathered through a privacy-protected national unit record system. </w:t>
      </w:r>
      <w:r w:rsidR="000E119F" w:rsidRPr="00924BBD">
        <w:rPr>
          <w:rFonts w:asciiTheme="minorHAnsi" w:hAnsiTheme="minorHAnsi" w:cstheme="minorHAnsi"/>
          <w:b/>
          <w:color w:val="1F497D" w:themeColor="text2"/>
          <w:sz w:val="23"/>
          <w:szCs w:val="23"/>
        </w:rPr>
        <w:t>(formerly “option 25”--reference 9/11, or 82%, in straw poll)</w:t>
      </w:r>
    </w:p>
    <w:p w:rsidR="004C1AB6" w:rsidRPr="00924BBD" w:rsidRDefault="004C1AB6" w:rsidP="004C1AB6">
      <w:pPr>
        <w:pStyle w:val="ListParagraph"/>
        <w:numPr>
          <w:ilvl w:val="0"/>
          <w:numId w:val="9"/>
        </w:numPr>
        <w:rPr>
          <w:rFonts w:asciiTheme="minorHAnsi" w:hAnsiTheme="minorHAnsi" w:cstheme="minorHAnsi"/>
          <w:sz w:val="23"/>
          <w:szCs w:val="23"/>
        </w:rPr>
      </w:pPr>
      <w:r w:rsidRPr="00924BBD">
        <w:rPr>
          <w:rFonts w:asciiTheme="minorHAnsi" w:hAnsiTheme="minorHAnsi" w:cstheme="minorHAnsi"/>
          <w:sz w:val="23"/>
          <w:szCs w:val="23"/>
        </w:rPr>
        <w:t xml:space="preserve">Explore and implement how the </w:t>
      </w:r>
      <w:r w:rsidR="00166F3C" w:rsidRPr="00924BBD">
        <w:rPr>
          <w:rFonts w:asciiTheme="minorHAnsi" w:hAnsiTheme="minorHAnsi" w:cstheme="minorHAnsi"/>
          <w:sz w:val="23"/>
          <w:szCs w:val="23"/>
        </w:rPr>
        <w:t>Integrated Postsecondary Education Data System (</w:t>
      </w:r>
      <w:r w:rsidRPr="00924BBD">
        <w:rPr>
          <w:rFonts w:asciiTheme="minorHAnsi" w:hAnsiTheme="minorHAnsi" w:cstheme="minorHAnsi"/>
          <w:sz w:val="23"/>
          <w:szCs w:val="23"/>
        </w:rPr>
        <w:t>IPEDS</w:t>
      </w:r>
      <w:r w:rsidR="00166F3C" w:rsidRPr="00924BBD">
        <w:rPr>
          <w:rFonts w:asciiTheme="minorHAnsi" w:hAnsiTheme="minorHAnsi" w:cstheme="minorHAnsi"/>
          <w:sz w:val="23"/>
          <w:szCs w:val="23"/>
        </w:rPr>
        <w:t>)</w:t>
      </w:r>
      <w:r w:rsidRPr="00924BBD">
        <w:rPr>
          <w:rFonts w:asciiTheme="minorHAnsi" w:hAnsiTheme="minorHAnsi" w:cstheme="minorHAnsi"/>
          <w:sz w:val="23"/>
          <w:szCs w:val="23"/>
        </w:rPr>
        <w:t xml:space="preserve"> data could be made more accurate, timely, and useful.   </w:t>
      </w:r>
      <w:r w:rsidRPr="00924BBD">
        <w:rPr>
          <w:rFonts w:asciiTheme="minorHAnsi" w:hAnsiTheme="minorHAnsi" w:cstheme="minorHAnsi"/>
          <w:b/>
          <w:color w:val="1F497D" w:themeColor="text2"/>
          <w:sz w:val="23"/>
          <w:szCs w:val="23"/>
        </w:rPr>
        <w:t>(known as “option 25 and ¾”, with 9/10, or 90%, in straw poll)</w:t>
      </w:r>
    </w:p>
    <w:p w:rsidR="00D42D6A" w:rsidRPr="00924BBD" w:rsidRDefault="00D42D6A" w:rsidP="00826E19">
      <w:pPr>
        <w:rPr>
          <w:rFonts w:asciiTheme="minorHAnsi" w:hAnsiTheme="minorHAnsi" w:cstheme="minorHAnsi"/>
          <w:b/>
          <w:sz w:val="23"/>
          <w:szCs w:val="23"/>
          <w:u w:val="single"/>
        </w:rPr>
      </w:pPr>
      <w:r w:rsidRPr="00924BBD">
        <w:rPr>
          <w:rFonts w:asciiTheme="minorHAnsi" w:hAnsiTheme="minorHAnsi" w:cstheme="minorHAnsi"/>
          <w:b/>
          <w:sz w:val="23"/>
          <w:szCs w:val="23"/>
          <w:u w:val="single"/>
        </w:rPr>
        <w:lastRenderedPageBreak/>
        <w:t>Data in service of public and consumer information</w:t>
      </w:r>
    </w:p>
    <w:p w:rsidR="00D42D6A" w:rsidRPr="00924BBD" w:rsidRDefault="00102AA4" w:rsidP="006111D7">
      <w:pPr>
        <w:rPr>
          <w:rFonts w:asciiTheme="minorHAnsi" w:hAnsiTheme="minorHAnsi" w:cstheme="minorHAnsi"/>
          <w:sz w:val="23"/>
          <w:szCs w:val="23"/>
        </w:rPr>
      </w:pPr>
      <w:r w:rsidRPr="00924BBD">
        <w:rPr>
          <w:rFonts w:asciiTheme="minorHAnsi" w:hAnsiTheme="minorHAnsi" w:cstheme="minorHAnsi"/>
          <w:sz w:val="23"/>
          <w:szCs w:val="23"/>
        </w:rPr>
        <w:t>To address the concern about lack of transparency in the accreditation process,</w:t>
      </w:r>
      <w:r w:rsidR="00D42D6A" w:rsidRPr="00924BBD">
        <w:rPr>
          <w:rFonts w:asciiTheme="minorHAnsi" w:hAnsiTheme="minorHAnsi" w:cstheme="minorHAnsi"/>
          <w:sz w:val="23"/>
          <w:szCs w:val="23"/>
        </w:rPr>
        <w:t xml:space="preserve"> data collected for accreditation by accrediting agencies should be available to the public by both the institution and the accrediting agency in a format that is consistent, meaningful, and perhaps prescribed.  It is a reasonable goal is to afford students and the general public</w:t>
      </w:r>
      <w:r w:rsidR="00BF2E7D" w:rsidRPr="00924BBD">
        <w:rPr>
          <w:rFonts w:asciiTheme="minorHAnsi" w:hAnsiTheme="minorHAnsi" w:cstheme="minorHAnsi"/>
          <w:sz w:val="23"/>
          <w:szCs w:val="23"/>
        </w:rPr>
        <w:t xml:space="preserve"> the opportunity</w:t>
      </w:r>
      <w:r w:rsidR="00D42D6A" w:rsidRPr="00924BBD">
        <w:rPr>
          <w:rFonts w:asciiTheme="minorHAnsi" w:hAnsiTheme="minorHAnsi" w:cstheme="minorHAnsi"/>
          <w:sz w:val="23"/>
          <w:szCs w:val="23"/>
        </w:rPr>
        <w:t xml:space="preserve"> to make accurate comparisons based on facts. </w:t>
      </w:r>
      <w:r w:rsidR="00166F3C" w:rsidRPr="00924BBD">
        <w:rPr>
          <w:rFonts w:asciiTheme="minorHAnsi" w:hAnsiTheme="minorHAnsi" w:cstheme="minorHAnsi"/>
          <w:sz w:val="23"/>
          <w:szCs w:val="23"/>
        </w:rPr>
        <w:t xml:space="preserve"> Our recommendations in this regard include:</w:t>
      </w:r>
    </w:p>
    <w:p w:rsidR="00D42D6A" w:rsidRPr="00924BBD" w:rsidRDefault="00BF2E7D" w:rsidP="00BF2E7D">
      <w:pPr>
        <w:pStyle w:val="ListParagraph"/>
        <w:numPr>
          <w:ilvl w:val="0"/>
          <w:numId w:val="9"/>
        </w:numPr>
        <w:rPr>
          <w:rFonts w:asciiTheme="minorHAnsi" w:hAnsiTheme="minorHAnsi" w:cstheme="minorHAnsi"/>
          <w:sz w:val="23"/>
          <w:szCs w:val="23"/>
        </w:rPr>
      </w:pPr>
      <w:r w:rsidRPr="00924BBD">
        <w:rPr>
          <w:rFonts w:asciiTheme="minorHAnsi" w:hAnsiTheme="minorHAnsi" w:cstheme="minorHAnsi"/>
          <w:sz w:val="23"/>
          <w:szCs w:val="23"/>
        </w:rPr>
        <w:t>Make a</w:t>
      </w:r>
      <w:r w:rsidR="00D42D6A" w:rsidRPr="00924BBD">
        <w:rPr>
          <w:rFonts w:asciiTheme="minorHAnsi" w:hAnsiTheme="minorHAnsi" w:cstheme="minorHAnsi"/>
          <w:sz w:val="23"/>
          <w:szCs w:val="23"/>
        </w:rPr>
        <w:t>ccreditation reports about institutions available to the public.</w:t>
      </w:r>
      <w:r w:rsidR="00FA275C" w:rsidRPr="00924BBD">
        <w:rPr>
          <w:rFonts w:asciiTheme="minorHAnsi" w:hAnsiTheme="minorHAnsi" w:cstheme="minorHAnsi"/>
          <w:sz w:val="23"/>
          <w:szCs w:val="23"/>
        </w:rPr>
        <w:t xml:space="preserve"> </w:t>
      </w:r>
      <w:r w:rsidR="00924BBD">
        <w:rPr>
          <w:rFonts w:asciiTheme="minorHAnsi" w:hAnsiTheme="minorHAnsi" w:cstheme="minorHAnsi"/>
          <w:sz w:val="23"/>
          <w:szCs w:val="23"/>
        </w:rPr>
        <w:t xml:space="preserve">Further discussion in the accreditation community is needed about what reports to include, and about how to increase information and transparency while sustaining other critical values in the accreditation process </w:t>
      </w:r>
      <w:r w:rsidR="00FA275C" w:rsidRPr="00924BBD">
        <w:rPr>
          <w:rFonts w:asciiTheme="minorHAnsi" w:hAnsiTheme="minorHAnsi" w:cstheme="minorHAnsi"/>
          <w:b/>
          <w:color w:val="1F497D" w:themeColor="text2"/>
          <w:sz w:val="23"/>
          <w:szCs w:val="23"/>
        </w:rPr>
        <w:t>(</w:t>
      </w:r>
      <w:r w:rsidRPr="00924BBD">
        <w:rPr>
          <w:rFonts w:asciiTheme="minorHAnsi" w:hAnsiTheme="minorHAnsi" w:cstheme="minorHAnsi"/>
          <w:b/>
          <w:color w:val="1F497D" w:themeColor="text2"/>
          <w:sz w:val="23"/>
          <w:szCs w:val="23"/>
        </w:rPr>
        <w:t>modified formerly “option 27”--</w:t>
      </w:r>
      <w:r w:rsidR="00FA275C" w:rsidRPr="00924BBD">
        <w:rPr>
          <w:rFonts w:asciiTheme="minorHAnsi" w:hAnsiTheme="minorHAnsi" w:cstheme="minorHAnsi"/>
          <w:b/>
          <w:color w:val="1F497D" w:themeColor="text2"/>
          <w:sz w:val="23"/>
          <w:szCs w:val="23"/>
        </w:rPr>
        <w:t xml:space="preserve">reference </w:t>
      </w:r>
      <w:r w:rsidR="00605EE0" w:rsidRPr="00924BBD">
        <w:rPr>
          <w:rFonts w:asciiTheme="minorHAnsi" w:hAnsiTheme="minorHAnsi" w:cstheme="minorHAnsi"/>
          <w:b/>
          <w:color w:val="1F497D" w:themeColor="text2"/>
          <w:sz w:val="23"/>
          <w:szCs w:val="23"/>
        </w:rPr>
        <w:t>7/9</w:t>
      </w:r>
      <w:r w:rsidR="00FA275C" w:rsidRPr="00924BBD">
        <w:rPr>
          <w:rFonts w:asciiTheme="minorHAnsi" w:hAnsiTheme="minorHAnsi" w:cstheme="minorHAnsi"/>
          <w:b/>
          <w:color w:val="1F497D" w:themeColor="text2"/>
          <w:sz w:val="23"/>
          <w:szCs w:val="23"/>
        </w:rPr>
        <w:t>, or 7</w:t>
      </w:r>
      <w:r w:rsidR="00605EE0" w:rsidRPr="00924BBD">
        <w:rPr>
          <w:rFonts w:asciiTheme="minorHAnsi" w:hAnsiTheme="minorHAnsi" w:cstheme="minorHAnsi"/>
          <w:b/>
          <w:color w:val="1F497D" w:themeColor="text2"/>
          <w:sz w:val="23"/>
          <w:szCs w:val="23"/>
        </w:rPr>
        <w:t>8</w:t>
      </w:r>
      <w:r w:rsidR="00FA275C" w:rsidRPr="00924BBD">
        <w:rPr>
          <w:rFonts w:asciiTheme="minorHAnsi" w:hAnsiTheme="minorHAnsi" w:cstheme="minorHAnsi"/>
          <w:b/>
          <w:color w:val="1F497D" w:themeColor="text2"/>
          <w:sz w:val="23"/>
          <w:szCs w:val="23"/>
        </w:rPr>
        <w:t>%, in straw poll)</w:t>
      </w:r>
    </w:p>
    <w:p w:rsidR="00D42D6A" w:rsidRPr="00924BBD" w:rsidRDefault="00BF2E7D" w:rsidP="00BF2E7D">
      <w:pPr>
        <w:pStyle w:val="ListParagraph"/>
        <w:numPr>
          <w:ilvl w:val="0"/>
          <w:numId w:val="9"/>
        </w:numPr>
        <w:rPr>
          <w:rFonts w:asciiTheme="minorHAnsi" w:hAnsiTheme="minorHAnsi" w:cstheme="minorHAnsi"/>
          <w:sz w:val="23"/>
          <w:szCs w:val="23"/>
        </w:rPr>
      </w:pPr>
      <w:r w:rsidRPr="00924BBD">
        <w:rPr>
          <w:rFonts w:asciiTheme="minorHAnsi" w:hAnsiTheme="minorHAnsi" w:cstheme="minorHAnsi"/>
          <w:sz w:val="23"/>
          <w:szCs w:val="23"/>
        </w:rPr>
        <w:t>Increase</w:t>
      </w:r>
      <w:r w:rsidR="00D42D6A" w:rsidRPr="00924BBD">
        <w:rPr>
          <w:rFonts w:asciiTheme="minorHAnsi" w:hAnsiTheme="minorHAnsi" w:cstheme="minorHAnsi"/>
          <w:sz w:val="23"/>
          <w:szCs w:val="23"/>
        </w:rPr>
        <w:t xml:space="preserve"> the number of knowledgeable public members on accreditation decision making boards.</w:t>
      </w:r>
      <w:r w:rsidR="00FA275C" w:rsidRPr="00924BBD">
        <w:rPr>
          <w:rFonts w:asciiTheme="minorHAnsi" w:hAnsiTheme="minorHAnsi" w:cstheme="minorHAnsi"/>
          <w:sz w:val="23"/>
          <w:szCs w:val="23"/>
        </w:rPr>
        <w:t xml:space="preserve"> </w:t>
      </w:r>
      <w:r w:rsidR="00FA275C" w:rsidRPr="00924BBD">
        <w:rPr>
          <w:rFonts w:asciiTheme="minorHAnsi" w:hAnsiTheme="minorHAnsi" w:cstheme="minorHAnsi"/>
          <w:b/>
          <w:color w:val="1F497D" w:themeColor="text2"/>
          <w:sz w:val="23"/>
          <w:szCs w:val="23"/>
        </w:rPr>
        <w:t>(</w:t>
      </w:r>
      <w:r w:rsidRPr="00924BBD">
        <w:rPr>
          <w:rFonts w:asciiTheme="minorHAnsi" w:hAnsiTheme="minorHAnsi" w:cstheme="minorHAnsi"/>
          <w:b/>
          <w:color w:val="1F497D" w:themeColor="text2"/>
          <w:sz w:val="23"/>
          <w:szCs w:val="23"/>
        </w:rPr>
        <w:t>modified former “option 28”--</w:t>
      </w:r>
      <w:r w:rsidR="00FA275C" w:rsidRPr="00924BBD">
        <w:rPr>
          <w:rFonts w:asciiTheme="minorHAnsi" w:hAnsiTheme="minorHAnsi" w:cstheme="minorHAnsi"/>
          <w:b/>
          <w:color w:val="1F497D" w:themeColor="text2"/>
          <w:sz w:val="23"/>
          <w:szCs w:val="23"/>
        </w:rPr>
        <w:t xml:space="preserve">reference </w:t>
      </w:r>
      <w:r w:rsidRPr="00924BBD">
        <w:rPr>
          <w:rFonts w:asciiTheme="minorHAnsi" w:hAnsiTheme="minorHAnsi" w:cstheme="minorHAnsi"/>
          <w:b/>
          <w:color w:val="1F497D" w:themeColor="text2"/>
          <w:sz w:val="23"/>
          <w:szCs w:val="23"/>
        </w:rPr>
        <w:t>7/</w:t>
      </w:r>
      <w:r w:rsidR="00605EE0" w:rsidRPr="00924BBD">
        <w:rPr>
          <w:rFonts w:asciiTheme="minorHAnsi" w:hAnsiTheme="minorHAnsi" w:cstheme="minorHAnsi"/>
          <w:b/>
          <w:color w:val="1F497D" w:themeColor="text2"/>
          <w:sz w:val="23"/>
          <w:szCs w:val="23"/>
        </w:rPr>
        <w:t>9</w:t>
      </w:r>
      <w:r w:rsidR="00FA275C" w:rsidRPr="00924BBD">
        <w:rPr>
          <w:rFonts w:asciiTheme="minorHAnsi" w:hAnsiTheme="minorHAnsi" w:cstheme="minorHAnsi"/>
          <w:b/>
          <w:color w:val="1F497D" w:themeColor="text2"/>
          <w:sz w:val="23"/>
          <w:szCs w:val="23"/>
        </w:rPr>
        <w:t xml:space="preserve">, or </w:t>
      </w:r>
      <w:r w:rsidR="00605EE0" w:rsidRPr="00924BBD">
        <w:rPr>
          <w:rFonts w:asciiTheme="minorHAnsi" w:hAnsiTheme="minorHAnsi" w:cstheme="minorHAnsi"/>
          <w:b/>
          <w:color w:val="1F497D" w:themeColor="text2"/>
          <w:sz w:val="23"/>
          <w:szCs w:val="23"/>
        </w:rPr>
        <w:t>78</w:t>
      </w:r>
      <w:r w:rsidR="00FA275C" w:rsidRPr="00924BBD">
        <w:rPr>
          <w:rFonts w:asciiTheme="minorHAnsi" w:hAnsiTheme="minorHAnsi" w:cstheme="minorHAnsi"/>
          <w:b/>
          <w:color w:val="1F497D" w:themeColor="text2"/>
          <w:sz w:val="23"/>
          <w:szCs w:val="23"/>
        </w:rPr>
        <w:t>%, in straw poll)</w:t>
      </w:r>
    </w:p>
    <w:p w:rsidR="00D42D6A" w:rsidRPr="00924BBD" w:rsidRDefault="00D42D6A" w:rsidP="00322DCD">
      <w:pPr>
        <w:rPr>
          <w:rFonts w:asciiTheme="minorHAnsi" w:hAnsiTheme="minorHAnsi" w:cstheme="minorHAnsi"/>
          <w:b/>
          <w:sz w:val="23"/>
          <w:szCs w:val="23"/>
          <w:u w:val="single"/>
        </w:rPr>
      </w:pPr>
      <w:r w:rsidRPr="00924BBD">
        <w:rPr>
          <w:rFonts w:asciiTheme="minorHAnsi" w:hAnsiTheme="minorHAnsi" w:cstheme="minorHAnsi"/>
          <w:b/>
          <w:sz w:val="23"/>
          <w:szCs w:val="23"/>
          <w:u w:val="single"/>
        </w:rPr>
        <w:t xml:space="preserve">The role of </w:t>
      </w:r>
      <w:r w:rsidR="00BF2E7D" w:rsidRPr="00924BBD">
        <w:rPr>
          <w:rFonts w:asciiTheme="minorHAnsi" w:hAnsiTheme="minorHAnsi" w:cstheme="minorHAnsi"/>
          <w:b/>
          <w:sz w:val="23"/>
          <w:szCs w:val="23"/>
          <w:u w:val="single"/>
        </w:rPr>
        <w:t xml:space="preserve">the </w:t>
      </w:r>
      <w:r w:rsidRPr="00924BBD">
        <w:rPr>
          <w:rFonts w:asciiTheme="minorHAnsi" w:hAnsiTheme="minorHAnsi" w:cstheme="minorHAnsi"/>
          <w:b/>
          <w:sz w:val="23"/>
          <w:szCs w:val="23"/>
          <w:u w:val="single"/>
        </w:rPr>
        <w:t>NACIQI as a federal advisory body</w:t>
      </w:r>
    </w:p>
    <w:p w:rsidR="00D42D6A" w:rsidRPr="00924BBD" w:rsidRDefault="00BF2E7D" w:rsidP="006111D7">
      <w:pPr>
        <w:rPr>
          <w:rFonts w:asciiTheme="minorHAnsi" w:hAnsiTheme="minorHAnsi" w:cstheme="minorHAnsi"/>
          <w:sz w:val="23"/>
          <w:szCs w:val="23"/>
        </w:rPr>
      </w:pPr>
      <w:r w:rsidRPr="00924BBD">
        <w:rPr>
          <w:rFonts w:asciiTheme="minorHAnsi" w:hAnsiTheme="minorHAnsi" w:cstheme="minorHAnsi"/>
          <w:sz w:val="23"/>
          <w:szCs w:val="23"/>
        </w:rPr>
        <w:t>We</w:t>
      </w:r>
      <w:r w:rsidR="00D42D6A" w:rsidRPr="00924BBD">
        <w:rPr>
          <w:rFonts w:asciiTheme="minorHAnsi" w:hAnsiTheme="minorHAnsi" w:cstheme="minorHAnsi"/>
          <w:sz w:val="23"/>
          <w:szCs w:val="23"/>
        </w:rPr>
        <w:t xml:space="preserve"> want to be sure that this body and</w:t>
      </w:r>
      <w:r w:rsidR="00321F62" w:rsidRPr="00924BBD">
        <w:rPr>
          <w:rFonts w:asciiTheme="minorHAnsi" w:hAnsiTheme="minorHAnsi" w:cstheme="minorHAnsi"/>
          <w:sz w:val="23"/>
          <w:szCs w:val="23"/>
        </w:rPr>
        <w:t xml:space="preserve"> our</w:t>
      </w:r>
      <w:r w:rsidR="00D42D6A" w:rsidRPr="00924BBD">
        <w:rPr>
          <w:rFonts w:asciiTheme="minorHAnsi" w:hAnsiTheme="minorHAnsi" w:cstheme="minorHAnsi"/>
          <w:sz w:val="23"/>
          <w:szCs w:val="23"/>
        </w:rPr>
        <w:t xml:space="preserve"> activities add value to the re</w:t>
      </w:r>
      <w:bookmarkStart w:id="0" w:name="_GoBack"/>
      <w:bookmarkEnd w:id="0"/>
      <w:r w:rsidR="00D42D6A" w:rsidRPr="00924BBD">
        <w:rPr>
          <w:rFonts w:asciiTheme="minorHAnsi" w:hAnsiTheme="minorHAnsi" w:cstheme="minorHAnsi"/>
          <w:sz w:val="23"/>
          <w:szCs w:val="23"/>
        </w:rPr>
        <w:t xml:space="preserve">cognition process, exercising independent judgment and addressing significant priority issues.  Further, </w:t>
      </w:r>
      <w:r w:rsidRPr="00924BBD">
        <w:rPr>
          <w:rFonts w:asciiTheme="minorHAnsi" w:hAnsiTheme="minorHAnsi" w:cstheme="minorHAnsi"/>
          <w:sz w:val="23"/>
          <w:szCs w:val="23"/>
        </w:rPr>
        <w:t>we have</w:t>
      </w:r>
      <w:r w:rsidR="00D42D6A" w:rsidRPr="00924BBD">
        <w:rPr>
          <w:rFonts w:asciiTheme="minorHAnsi" w:hAnsiTheme="minorHAnsi" w:cstheme="minorHAnsi"/>
          <w:sz w:val="23"/>
          <w:szCs w:val="23"/>
        </w:rPr>
        <w:t xml:space="preserve"> the opportunity to provide greater leadership and perspective on the design and effectiveness of the accreditation and quality assurance process. </w:t>
      </w:r>
      <w:r w:rsidRPr="00924BBD">
        <w:rPr>
          <w:rFonts w:asciiTheme="minorHAnsi" w:hAnsiTheme="minorHAnsi" w:cstheme="minorHAnsi"/>
          <w:sz w:val="23"/>
          <w:szCs w:val="23"/>
        </w:rPr>
        <w:t xml:space="preserve"> The</w:t>
      </w:r>
      <w:r w:rsidR="00D42D6A" w:rsidRPr="00924BBD">
        <w:rPr>
          <w:rFonts w:asciiTheme="minorHAnsi" w:hAnsiTheme="minorHAnsi" w:cstheme="minorHAnsi"/>
          <w:sz w:val="23"/>
          <w:szCs w:val="23"/>
        </w:rPr>
        <w:t xml:space="preserve"> occasion of agency review for recognition </w:t>
      </w:r>
      <w:r w:rsidRPr="00924BBD">
        <w:rPr>
          <w:rFonts w:asciiTheme="minorHAnsi" w:hAnsiTheme="minorHAnsi" w:cstheme="minorHAnsi"/>
          <w:sz w:val="23"/>
          <w:szCs w:val="23"/>
        </w:rPr>
        <w:t>provides us</w:t>
      </w:r>
      <w:r w:rsidR="00D42D6A" w:rsidRPr="00924BBD">
        <w:rPr>
          <w:rFonts w:asciiTheme="minorHAnsi" w:hAnsiTheme="minorHAnsi" w:cstheme="minorHAnsi"/>
          <w:sz w:val="23"/>
          <w:szCs w:val="23"/>
        </w:rPr>
        <w:t xml:space="preserve"> and the accreditation community </w:t>
      </w:r>
      <w:r w:rsidRPr="00924BBD">
        <w:rPr>
          <w:rFonts w:asciiTheme="minorHAnsi" w:hAnsiTheme="minorHAnsi" w:cstheme="minorHAnsi"/>
          <w:sz w:val="23"/>
          <w:szCs w:val="23"/>
        </w:rPr>
        <w:t xml:space="preserve">the opportunity to be better informed </w:t>
      </w:r>
      <w:r w:rsidR="00D42D6A" w:rsidRPr="00924BBD">
        <w:rPr>
          <w:rFonts w:asciiTheme="minorHAnsi" w:hAnsiTheme="minorHAnsi" w:cstheme="minorHAnsi"/>
          <w:sz w:val="23"/>
          <w:szCs w:val="23"/>
        </w:rPr>
        <w:t xml:space="preserve">about the shifts, challenges, successes, and good practices of the various parts of the quality assurance enterprise.   </w:t>
      </w:r>
      <w:r w:rsidR="00166F3C" w:rsidRPr="00924BBD">
        <w:rPr>
          <w:rFonts w:asciiTheme="minorHAnsi" w:hAnsiTheme="minorHAnsi" w:cstheme="minorHAnsi"/>
          <w:sz w:val="23"/>
          <w:szCs w:val="23"/>
        </w:rPr>
        <w:t>Our recommendations for the role of NACIQI include:</w:t>
      </w:r>
    </w:p>
    <w:p w:rsidR="0027497B" w:rsidRPr="00924BBD" w:rsidRDefault="0027497B" w:rsidP="0027497B">
      <w:pPr>
        <w:pStyle w:val="ListParagraph"/>
        <w:numPr>
          <w:ilvl w:val="0"/>
          <w:numId w:val="9"/>
        </w:numPr>
        <w:rPr>
          <w:rFonts w:asciiTheme="minorHAnsi" w:hAnsiTheme="minorHAnsi" w:cstheme="minorHAnsi"/>
          <w:i/>
          <w:sz w:val="23"/>
          <w:szCs w:val="23"/>
        </w:rPr>
      </w:pPr>
      <w:r w:rsidRPr="00924BBD">
        <w:rPr>
          <w:rFonts w:asciiTheme="minorHAnsi" w:hAnsiTheme="minorHAnsi" w:cstheme="minorHAnsi"/>
          <w:sz w:val="23"/>
          <w:szCs w:val="23"/>
        </w:rPr>
        <w:t>Expect NACIQI to ask accreditors to report on the performance of the universe of institutions/programs they accredit.</w:t>
      </w:r>
      <w:r w:rsidRPr="00924BBD">
        <w:rPr>
          <w:rFonts w:asciiTheme="minorHAnsi" w:hAnsiTheme="minorHAnsi" w:cstheme="minorHAnsi"/>
          <w:i/>
          <w:sz w:val="23"/>
          <w:szCs w:val="23"/>
        </w:rPr>
        <w:t xml:space="preserve">   </w:t>
      </w:r>
      <w:r w:rsidRPr="00924BBD">
        <w:rPr>
          <w:rFonts w:asciiTheme="minorHAnsi" w:hAnsiTheme="minorHAnsi" w:cstheme="minorHAnsi"/>
          <w:b/>
          <w:i/>
          <w:color w:val="1F497D" w:themeColor="text2"/>
          <w:sz w:val="23"/>
          <w:szCs w:val="23"/>
        </w:rPr>
        <w:t>(part of what was formerly “option 10”--reference 7/12, or 58%, in straw poll)</w:t>
      </w:r>
    </w:p>
    <w:p w:rsidR="00D42D6A" w:rsidRPr="00924BBD" w:rsidRDefault="00D42D6A" w:rsidP="0027497B">
      <w:pPr>
        <w:pStyle w:val="ListParagraph"/>
        <w:numPr>
          <w:ilvl w:val="0"/>
          <w:numId w:val="9"/>
        </w:numPr>
        <w:rPr>
          <w:rFonts w:asciiTheme="minorHAnsi" w:hAnsiTheme="minorHAnsi" w:cstheme="minorHAnsi"/>
          <w:sz w:val="23"/>
          <w:szCs w:val="23"/>
        </w:rPr>
      </w:pPr>
      <w:r w:rsidRPr="00924BBD">
        <w:rPr>
          <w:rFonts w:asciiTheme="minorHAnsi" w:hAnsiTheme="minorHAnsi" w:cstheme="minorHAnsi"/>
          <w:sz w:val="23"/>
          <w:szCs w:val="23"/>
        </w:rPr>
        <w:t xml:space="preserve">Continue to </w:t>
      </w:r>
      <w:r w:rsidR="00BF2E7D" w:rsidRPr="00924BBD">
        <w:rPr>
          <w:rFonts w:asciiTheme="minorHAnsi" w:hAnsiTheme="minorHAnsi" w:cstheme="minorHAnsi"/>
          <w:sz w:val="23"/>
          <w:szCs w:val="23"/>
        </w:rPr>
        <w:t>expect</w:t>
      </w:r>
      <w:r w:rsidRPr="00924BBD">
        <w:rPr>
          <w:rFonts w:asciiTheme="minorHAnsi" w:hAnsiTheme="minorHAnsi" w:cstheme="minorHAnsi"/>
          <w:sz w:val="23"/>
          <w:szCs w:val="23"/>
        </w:rPr>
        <w:t xml:space="preserve"> NACIQI to play a role in system review, monitoring, </w:t>
      </w:r>
      <w:r w:rsidR="007D471C" w:rsidRPr="00924BBD">
        <w:rPr>
          <w:rFonts w:asciiTheme="minorHAnsi" w:hAnsiTheme="minorHAnsi" w:cstheme="minorHAnsi"/>
          <w:sz w:val="23"/>
          <w:szCs w:val="23"/>
        </w:rPr>
        <w:t xml:space="preserve">dialogue and exchange, </w:t>
      </w:r>
      <w:r w:rsidRPr="00924BBD">
        <w:rPr>
          <w:rFonts w:asciiTheme="minorHAnsi" w:hAnsiTheme="minorHAnsi" w:cstheme="minorHAnsi"/>
          <w:sz w:val="23"/>
          <w:szCs w:val="23"/>
        </w:rPr>
        <w:t xml:space="preserve">and policy analysis and recommendations to advise the Secretary. This role could include developing standards to meet changing realities in education, identifying needed flexibility in accreditation standards, and assessing system wide outcomes and consistency.  </w:t>
      </w:r>
      <w:r w:rsidR="00FA275C" w:rsidRPr="00924BBD">
        <w:rPr>
          <w:rFonts w:asciiTheme="minorHAnsi" w:hAnsiTheme="minorHAnsi" w:cstheme="minorHAnsi"/>
          <w:b/>
          <w:i/>
          <w:color w:val="1F497D" w:themeColor="text2"/>
          <w:sz w:val="23"/>
          <w:szCs w:val="23"/>
        </w:rPr>
        <w:t>(</w:t>
      </w:r>
      <w:r w:rsidR="00BF2E7D" w:rsidRPr="00924BBD">
        <w:rPr>
          <w:rFonts w:asciiTheme="minorHAnsi" w:hAnsiTheme="minorHAnsi" w:cstheme="minorHAnsi"/>
          <w:b/>
          <w:i/>
          <w:color w:val="1F497D" w:themeColor="text2"/>
          <w:sz w:val="23"/>
          <w:szCs w:val="23"/>
        </w:rPr>
        <w:t>modified former “option 29”--</w:t>
      </w:r>
      <w:r w:rsidR="00FA275C" w:rsidRPr="00924BBD">
        <w:rPr>
          <w:rFonts w:asciiTheme="minorHAnsi" w:hAnsiTheme="minorHAnsi" w:cstheme="minorHAnsi"/>
          <w:b/>
          <w:i/>
          <w:color w:val="1F497D" w:themeColor="text2"/>
          <w:sz w:val="23"/>
          <w:szCs w:val="23"/>
        </w:rPr>
        <w:t xml:space="preserve">reference </w:t>
      </w:r>
      <w:r w:rsidR="00605EE0" w:rsidRPr="00924BBD">
        <w:rPr>
          <w:rFonts w:asciiTheme="minorHAnsi" w:hAnsiTheme="minorHAnsi" w:cstheme="minorHAnsi"/>
          <w:b/>
          <w:i/>
          <w:color w:val="1F497D" w:themeColor="text2"/>
          <w:sz w:val="23"/>
          <w:szCs w:val="23"/>
        </w:rPr>
        <w:t>9/9</w:t>
      </w:r>
      <w:r w:rsidR="00FA275C" w:rsidRPr="00924BBD">
        <w:rPr>
          <w:rFonts w:asciiTheme="minorHAnsi" w:hAnsiTheme="minorHAnsi" w:cstheme="minorHAnsi"/>
          <w:b/>
          <w:i/>
          <w:color w:val="1F497D" w:themeColor="text2"/>
          <w:sz w:val="23"/>
          <w:szCs w:val="23"/>
        </w:rPr>
        <w:t xml:space="preserve">, or </w:t>
      </w:r>
      <w:r w:rsidR="00BF2E7D" w:rsidRPr="00924BBD">
        <w:rPr>
          <w:rFonts w:asciiTheme="minorHAnsi" w:hAnsiTheme="minorHAnsi" w:cstheme="minorHAnsi"/>
          <w:b/>
          <w:i/>
          <w:color w:val="1F497D" w:themeColor="text2"/>
          <w:sz w:val="23"/>
          <w:szCs w:val="23"/>
        </w:rPr>
        <w:t>100</w:t>
      </w:r>
      <w:r w:rsidR="00FA275C" w:rsidRPr="00924BBD">
        <w:rPr>
          <w:rFonts w:asciiTheme="minorHAnsi" w:hAnsiTheme="minorHAnsi" w:cstheme="minorHAnsi"/>
          <w:b/>
          <w:i/>
          <w:color w:val="1F497D" w:themeColor="text2"/>
          <w:sz w:val="23"/>
          <w:szCs w:val="23"/>
        </w:rPr>
        <w:t>%, in straw poll)</w:t>
      </w:r>
    </w:p>
    <w:p w:rsidR="00D42D6A" w:rsidRPr="00924BBD" w:rsidRDefault="00D42D6A" w:rsidP="0027497B">
      <w:pPr>
        <w:pStyle w:val="ListParagraph"/>
        <w:numPr>
          <w:ilvl w:val="0"/>
          <w:numId w:val="9"/>
        </w:numPr>
        <w:rPr>
          <w:rFonts w:asciiTheme="minorHAnsi" w:hAnsiTheme="minorHAnsi" w:cstheme="minorHAnsi"/>
          <w:sz w:val="23"/>
          <w:szCs w:val="23"/>
        </w:rPr>
      </w:pPr>
      <w:r w:rsidRPr="00924BBD">
        <w:rPr>
          <w:rFonts w:asciiTheme="minorHAnsi" w:hAnsiTheme="minorHAnsi" w:cstheme="minorHAnsi"/>
          <w:sz w:val="23"/>
          <w:szCs w:val="23"/>
        </w:rPr>
        <w:t xml:space="preserve">Just as </w:t>
      </w:r>
      <w:r w:rsidR="00BF2E7D" w:rsidRPr="00924BBD">
        <w:rPr>
          <w:rFonts w:asciiTheme="minorHAnsi" w:hAnsiTheme="minorHAnsi" w:cstheme="minorHAnsi"/>
          <w:sz w:val="23"/>
          <w:szCs w:val="23"/>
        </w:rPr>
        <w:t>our recommendations</w:t>
      </w:r>
      <w:r w:rsidRPr="00924BBD">
        <w:rPr>
          <w:rFonts w:asciiTheme="minorHAnsi" w:hAnsiTheme="minorHAnsi" w:cstheme="minorHAnsi"/>
          <w:sz w:val="23"/>
          <w:szCs w:val="23"/>
        </w:rPr>
        <w:t xml:space="preserve"> provide the basis for greater nuance or gradation in the accreditation determination of institutions and programs, so too might </w:t>
      </w:r>
      <w:r w:rsidR="00321F62" w:rsidRPr="00924BBD">
        <w:rPr>
          <w:rFonts w:asciiTheme="minorHAnsi" w:hAnsiTheme="minorHAnsi" w:cstheme="minorHAnsi"/>
          <w:sz w:val="23"/>
          <w:szCs w:val="23"/>
        </w:rPr>
        <w:t>NACIQI consider</w:t>
      </w:r>
      <w:r w:rsidRPr="00924BBD">
        <w:rPr>
          <w:rFonts w:asciiTheme="minorHAnsi" w:hAnsiTheme="minorHAnsi" w:cstheme="minorHAnsi"/>
          <w:sz w:val="23"/>
          <w:szCs w:val="23"/>
        </w:rPr>
        <w:t xml:space="preserve"> greater nuance or gradation</w:t>
      </w:r>
      <w:r w:rsidR="00A74393" w:rsidRPr="00924BBD">
        <w:rPr>
          <w:rFonts w:asciiTheme="minorHAnsi" w:hAnsiTheme="minorHAnsi" w:cstheme="minorHAnsi"/>
          <w:sz w:val="23"/>
          <w:szCs w:val="23"/>
        </w:rPr>
        <w:t xml:space="preserve">—indicating a range that includes both </w:t>
      </w:r>
      <w:r w:rsidR="009B6602" w:rsidRPr="00924BBD">
        <w:rPr>
          <w:rFonts w:asciiTheme="minorHAnsi" w:hAnsiTheme="minorHAnsi" w:cstheme="minorHAnsi"/>
          <w:sz w:val="23"/>
          <w:szCs w:val="23"/>
        </w:rPr>
        <w:t>honor</w:t>
      </w:r>
      <w:r w:rsidR="00102AA4" w:rsidRPr="00924BBD">
        <w:rPr>
          <w:rFonts w:asciiTheme="minorHAnsi" w:hAnsiTheme="minorHAnsi" w:cstheme="minorHAnsi"/>
          <w:sz w:val="23"/>
          <w:szCs w:val="23"/>
        </w:rPr>
        <w:t>s</w:t>
      </w:r>
      <w:r w:rsidR="009B6602" w:rsidRPr="00924BBD">
        <w:rPr>
          <w:rFonts w:asciiTheme="minorHAnsi" w:hAnsiTheme="minorHAnsi" w:cstheme="minorHAnsi"/>
          <w:sz w:val="23"/>
          <w:szCs w:val="23"/>
        </w:rPr>
        <w:t xml:space="preserve"> </w:t>
      </w:r>
      <w:r w:rsidR="00A74393" w:rsidRPr="00924BBD">
        <w:rPr>
          <w:rFonts w:asciiTheme="minorHAnsi" w:hAnsiTheme="minorHAnsi" w:cstheme="minorHAnsi"/>
          <w:sz w:val="23"/>
          <w:szCs w:val="23"/>
        </w:rPr>
        <w:t>and caution--</w:t>
      </w:r>
      <w:r w:rsidRPr="00924BBD">
        <w:rPr>
          <w:rFonts w:asciiTheme="minorHAnsi" w:hAnsiTheme="minorHAnsi" w:cstheme="minorHAnsi"/>
          <w:sz w:val="23"/>
          <w:szCs w:val="23"/>
        </w:rPr>
        <w:t xml:space="preserve">in the recognition determination </w:t>
      </w:r>
      <w:r w:rsidR="00321F62" w:rsidRPr="00924BBD">
        <w:rPr>
          <w:rFonts w:asciiTheme="minorHAnsi" w:hAnsiTheme="minorHAnsi" w:cstheme="minorHAnsi"/>
          <w:sz w:val="23"/>
          <w:szCs w:val="23"/>
        </w:rPr>
        <w:t xml:space="preserve">regarding </w:t>
      </w:r>
      <w:r w:rsidRPr="00924BBD">
        <w:rPr>
          <w:rFonts w:asciiTheme="minorHAnsi" w:hAnsiTheme="minorHAnsi" w:cstheme="minorHAnsi"/>
          <w:sz w:val="23"/>
          <w:szCs w:val="23"/>
        </w:rPr>
        <w:t>accreditation agencies.</w:t>
      </w:r>
      <w:r w:rsidR="00FA275C" w:rsidRPr="00924BBD">
        <w:rPr>
          <w:rFonts w:asciiTheme="minorHAnsi" w:hAnsiTheme="minorHAnsi" w:cstheme="minorHAnsi"/>
          <w:i/>
          <w:sz w:val="23"/>
          <w:szCs w:val="23"/>
        </w:rPr>
        <w:t xml:space="preserve"> </w:t>
      </w:r>
      <w:r w:rsidR="00FA275C" w:rsidRPr="00924BBD">
        <w:rPr>
          <w:rFonts w:asciiTheme="minorHAnsi" w:hAnsiTheme="minorHAnsi" w:cstheme="minorHAnsi"/>
          <w:b/>
          <w:i/>
          <w:color w:val="1F497D" w:themeColor="text2"/>
          <w:sz w:val="23"/>
          <w:szCs w:val="23"/>
        </w:rPr>
        <w:t>(</w:t>
      </w:r>
      <w:r w:rsidR="00BF2E7D" w:rsidRPr="00924BBD">
        <w:rPr>
          <w:rFonts w:asciiTheme="minorHAnsi" w:hAnsiTheme="minorHAnsi" w:cstheme="minorHAnsi"/>
          <w:b/>
          <w:i/>
          <w:color w:val="1F497D" w:themeColor="text2"/>
          <w:sz w:val="23"/>
          <w:szCs w:val="23"/>
        </w:rPr>
        <w:t>modified former “option 30”--</w:t>
      </w:r>
      <w:r w:rsidR="00FA275C" w:rsidRPr="00924BBD">
        <w:rPr>
          <w:rFonts w:asciiTheme="minorHAnsi" w:hAnsiTheme="minorHAnsi" w:cstheme="minorHAnsi"/>
          <w:b/>
          <w:i/>
          <w:color w:val="1F497D" w:themeColor="text2"/>
          <w:sz w:val="23"/>
          <w:szCs w:val="23"/>
        </w:rPr>
        <w:t xml:space="preserve">reference </w:t>
      </w:r>
      <w:r w:rsidR="00BF2E7D" w:rsidRPr="00924BBD">
        <w:rPr>
          <w:rFonts w:asciiTheme="minorHAnsi" w:hAnsiTheme="minorHAnsi" w:cstheme="minorHAnsi"/>
          <w:b/>
          <w:i/>
          <w:color w:val="1F497D" w:themeColor="text2"/>
          <w:sz w:val="23"/>
          <w:szCs w:val="23"/>
        </w:rPr>
        <w:t>11/1</w:t>
      </w:r>
      <w:r w:rsidR="00605EE0" w:rsidRPr="00924BBD">
        <w:rPr>
          <w:rFonts w:asciiTheme="minorHAnsi" w:hAnsiTheme="minorHAnsi" w:cstheme="minorHAnsi"/>
          <w:b/>
          <w:i/>
          <w:color w:val="1F497D" w:themeColor="text2"/>
          <w:sz w:val="23"/>
          <w:szCs w:val="23"/>
        </w:rPr>
        <w:t>2</w:t>
      </w:r>
      <w:r w:rsidR="00FA275C" w:rsidRPr="00924BBD">
        <w:rPr>
          <w:rFonts w:asciiTheme="minorHAnsi" w:hAnsiTheme="minorHAnsi" w:cstheme="minorHAnsi"/>
          <w:b/>
          <w:i/>
          <w:color w:val="1F497D" w:themeColor="text2"/>
          <w:sz w:val="23"/>
          <w:szCs w:val="23"/>
        </w:rPr>
        <w:t xml:space="preserve">, or </w:t>
      </w:r>
      <w:r w:rsidR="00605EE0" w:rsidRPr="00924BBD">
        <w:rPr>
          <w:rFonts w:asciiTheme="minorHAnsi" w:hAnsiTheme="minorHAnsi" w:cstheme="minorHAnsi"/>
          <w:b/>
          <w:i/>
          <w:color w:val="1F497D" w:themeColor="text2"/>
          <w:sz w:val="23"/>
          <w:szCs w:val="23"/>
        </w:rPr>
        <w:t>92</w:t>
      </w:r>
      <w:r w:rsidR="00FA275C" w:rsidRPr="00924BBD">
        <w:rPr>
          <w:rFonts w:asciiTheme="minorHAnsi" w:hAnsiTheme="minorHAnsi" w:cstheme="minorHAnsi"/>
          <w:b/>
          <w:i/>
          <w:color w:val="1F497D" w:themeColor="text2"/>
          <w:sz w:val="23"/>
          <w:szCs w:val="23"/>
        </w:rPr>
        <w:t>%, in straw poll)</w:t>
      </w:r>
    </w:p>
    <w:sectPr w:rsidR="00D42D6A" w:rsidRPr="00924BBD" w:rsidSect="00B55B51">
      <w:headerReference w:type="even" r:id="rId7"/>
      <w:headerReference w:type="default" r:id="rId8"/>
      <w:footerReference w:type="even" r:id="rId9"/>
      <w:footerReference w:type="default" r:id="rId10"/>
      <w:headerReference w:type="first" r:id="rId11"/>
      <w:footerReference w:type="first" r:id="rId12"/>
      <w:pgSz w:w="12240" w:h="15840"/>
      <w:pgMar w:top="1170" w:right="1440" w:bottom="99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1A6" w:rsidRDefault="00F701A6" w:rsidP="00E537C1">
      <w:pPr>
        <w:spacing w:after="0" w:line="240" w:lineRule="auto"/>
      </w:pPr>
      <w:r>
        <w:separator/>
      </w:r>
    </w:p>
  </w:endnote>
  <w:endnote w:type="continuationSeparator" w:id="0">
    <w:p w:rsidR="00F701A6" w:rsidRDefault="00F701A6" w:rsidP="00E53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D6A" w:rsidRDefault="00D42D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D6A" w:rsidRDefault="00D42D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D6A" w:rsidRDefault="00D42D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1A6" w:rsidRDefault="00F701A6" w:rsidP="00E537C1">
      <w:pPr>
        <w:spacing w:after="0" w:line="240" w:lineRule="auto"/>
      </w:pPr>
      <w:r>
        <w:separator/>
      </w:r>
    </w:p>
  </w:footnote>
  <w:footnote w:type="continuationSeparator" w:id="0">
    <w:p w:rsidR="00F701A6" w:rsidRDefault="00F701A6" w:rsidP="00E537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D6A" w:rsidRDefault="00D42D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D6A" w:rsidRDefault="00D42D6A" w:rsidP="00B12AB2">
    <w:pPr>
      <w:pStyle w:val="Header"/>
      <w:pBdr>
        <w:bottom w:val="single" w:sz="4" w:space="1" w:color="D9D9D9"/>
      </w:pBdr>
      <w:jc w:val="right"/>
      <w:rPr>
        <w:b/>
        <w:bCs/>
      </w:rPr>
    </w:pPr>
    <w:r w:rsidRPr="00B12AB2">
      <w:rPr>
        <w:color w:val="808080"/>
        <w:spacing w:val="60"/>
      </w:rPr>
      <w:t>Page</w:t>
    </w:r>
    <w:r>
      <w:t xml:space="preserve"> | </w:t>
    </w:r>
    <w:r w:rsidR="00520118" w:rsidRPr="00520118">
      <w:fldChar w:fldCharType="begin"/>
    </w:r>
    <w:r w:rsidR="001764B0">
      <w:instrText xml:space="preserve"> PAGE   \* MERGEFORMAT </w:instrText>
    </w:r>
    <w:r w:rsidR="00520118" w:rsidRPr="00520118">
      <w:fldChar w:fldCharType="separate"/>
    </w:r>
    <w:r w:rsidR="002250AF" w:rsidRPr="002250AF">
      <w:rPr>
        <w:b/>
        <w:bCs/>
        <w:noProof/>
      </w:rPr>
      <w:t>7</w:t>
    </w:r>
    <w:r w:rsidR="00520118">
      <w:rPr>
        <w:b/>
        <w:bCs/>
        <w:noProof/>
      </w:rPr>
      <w:fldChar w:fldCharType="end"/>
    </w:r>
  </w:p>
  <w:p w:rsidR="00D42D6A" w:rsidRDefault="00D42D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D6A" w:rsidRDefault="00D42D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7214"/>
    <w:multiLevelType w:val="hybridMultilevel"/>
    <w:tmpl w:val="53565B3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F0E433D"/>
    <w:multiLevelType w:val="hybridMultilevel"/>
    <w:tmpl w:val="431AB2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544638C"/>
    <w:multiLevelType w:val="hybridMultilevel"/>
    <w:tmpl w:val="3A7ADD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38A636D"/>
    <w:multiLevelType w:val="hybridMultilevel"/>
    <w:tmpl w:val="3E8E4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CA3248"/>
    <w:multiLevelType w:val="hybridMultilevel"/>
    <w:tmpl w:val="B7CC80EA"/>
    <w:lvl w:ilvl="0" w:tplc="3E7A280C">
      <w:start w:val="1"/>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9F1E4F"/>
    <w:multiLevelType w:val="hybridMultilevel"/>
    <w:tmpl w:val="F3165788"/>
    <w:lvl w:ilvl="0" w:tplc="3E7A280C">
      <w:start w:val="1"/>
      <w:numFmt w:val="bullet"/>
      <w:lvlText w:val=""/>
      <w:lvlJc w:val="left"/>
      <w:pPr>
        <w:ind w:left="2880" w:hanging="360"/>
      </w:pPr>
      <w:rPr>
        <w:rFonts w:ascii="Wingdings" w:eastAsia="Times New Roman"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505755FD"/>
    <w:multiLevelType w:val="hybridMultilevel"/>
    <w:tmpl w:val="5CA2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3473F"/>
    <w:multiLevelType w:val="hybridMultilevel"/>
    <w:tmpl w:val="D02476F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70967E4F"/>
    <w:multiLevelType w:val="hybridMultilevel"/>
    <w:tmpl w:val="C3727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9795DA7"/>
    <w:multiLevelType w:val="hybridMultilevel"/>
    <w:tmpl w:val="8FE246BE"/>
    <w:lvl w:ilvl="0" w:tplc="79AAE534">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5"/>
  </w:num>
  <w:num w:numId="7">
    <w:abstractNumId w:val="0"/>
  </w:num>
  <w:num w:numId="8">
    <w:abstractNumId w:val="8"/>
  </w:num>
  <w:num w:numId="9">
    <w:abstractNumId w:val="6"/>
  </w:num>
  <w:num w:numId="10">
    <w:abstractNumId w:val="3"/>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oNotDisplayPageBoundaries/>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9361B0"/>
    <w:rsid w:val="00005CE4"/>
    <w:rsid w:val="000301C9"/>
    <w:rsid w:val="00033361"/>
    <w:rsid w:val="00036D8A"/>
    <w:rsid w:val="0003701A"/>
    <w:rsid w:val="00040791"/>
    <w:rsid w:val="000414E2"/>
    <w:rsid w:val="00043CC8"/>
    <w:rsid w:val="00050EDC"/>
    <w:rsid w:val="00051D9B"/>
    <w:rsid w:val="00064CEC"/>
    <w:rsid w:val="000679E0"/>
    <w:rsid w:val="00075E1A"/>
    <w:rsid w:val="000A0DBB"/>
    <w:rsid w:val="000A418B"/>
    <w:rsid w:val="000A4A18"/>
    <w:rsid w:val="000E119F"/>
    <w:rsid w:val="000E21D9"/>
    <w:rsid w:val="000F15BE"/>
    <w:rsid w:val="000F2A41"/>
    <w:rsid w:val="00102AA4"/>
    <w:rsid w:val="00114F8F"/>
    <w:rsid w:val="00122F83"/>
    <w:rsid w:val="00133D0E"/>
    <w:rsid w:val="001370CE"/>
    <w:rsid w:val="001413F3"/>
    <w:rsid w:val="00146967"/>
    <w:rsid w:val="00165F7B"/>
    <w:rsid w:val="00166F3C"/>
    <w:rsid w:val="001764B0"/>
    <w:rsid w:val="001A3484"/>
    <w:rsid w:val="001C4E68"/>
    <w:rsid w:val="001D4EBF"/>
    <w:rsid w:val="00216655"/>
    <w:rsid w:val="0021710A"/>
    <w:rsid w:val="002250AF"/>
    <w:rsid w:val="0022528B"/>
    <w:rsid w:val="00236043"/>
    <w:rsid w:val="002370FD"/>
    <w:rsid w:val="002408E1"/>
    <w:rsid w:val="0027497B"/>
    <w:rsid w:val="002836C5"/>
    <w:rsid w:val="002A64D5"/>
    <w:rsid w:val="002B7C61"/>
    <w:rsid w:val="002D1FF3"/>
    <w:rsid w:val="002D45E1"/>
    <w:rsid w:val="002D7A89"/>
    <w:rsid w:val="002F2507"/>
    <w:rsid w:val="002F351E"/>
    <w:rsid w:val="003105CB"/>
    <w:rsid w:val="003153DF"/>
    <w:rsid w:val="00321F62"/>
    <w:rsid w:val="00322DCD"/>
    <w:rsid w:val="00354BBF"/>
    <w:rsid w:val="003555D6"/>
    <w:rsid w:val="00355ECA"/>
    <w:rsid w:val="0036687F"/>
    <w:rsid w:val="0036737C"/>
    <w:rsid w:val="003818CD"/>
    <w:rsid w:val="003A25B8"/>
    <w:rsid w:val="003B19EA"/>
    <w:rsid w:val="003B229B"/>
    <w:rsid w:val="003D0085"/>
    <w:rsid w:val="003D1931"/>
    <w:rsid w:val="003D4C1C"/>
    <w:rsid w:val="003D4F11"/>
    <w:rsid w:val="003E0F14"/>
    <w:rsid w:val="003E4D09"/>
    <w:rsid w:val="003F2291"/>
    <w:rsid w:val="004008D4"/>
    <w:rsid w:val="00406195"/>
    <w:rsid w:val="00422BF4"/>
    <w:rsid w:val="004601E3"/>
    <w:rsid w:val="00471A89"/>
    <w:rsid w:val="004C1AB6"/>
    <w:rsid w:val="004F5943"/>
    <w:rsid w:val="00513FB4"/>
    <w:rsid w:val="00520118"/>
    <w:rsid w:val="005258E4"/>
    <w:rsid w:val="005441E5"/>
    <w:rsid w:val="00547BDC"/>
    <w:rsid w:val="00561002"/>
    <w:rsid w:val="00570D8F"/>
    <w:rsid w:val="00576E8E"/>
    <w:rsid w:val="00592351"/>
    <w:rsid w:val="00592E0A"/>
    <w:rsid w:val="00593B0E"/>
    <w:rsid w:val="005C1DC0"/>
    <w:rsid w:val="005E1F14"/>
    <w:rsid w:val="005E2686"/>
    <w:rsid w:val="005F014B"/>
    <w:rsid w:val="005F6356"/>
    <w:rsid w:val="0060071B"/>
    <w:rsid w:val="00602139"/>
    <w:rsid w:val="00605EE0"/>
    <w:rsid w:val="006111D7"/>
    <w:rsid w:val="00614743"/>
    <w:rsid w:val="00620236"/>
    <w:rsid w:val="0062618E"/>
    <w:rsid w:val="00634471"/>
    <w:rsid w:val="00635DCB"/>
    <w:rsid w:val="006368B2"/>
    <w:rsid w:val="00650EA3"/>
    <w:rsid w:val="006C6318"/>
    <w:rsid w:val="006D0A5B"/>
    <w:rsid w:val="006D4C6C"/>
    <w:rsid w:val="006E3A44"/>
    <w:rsid w:val="006F74AE"/>
    <w:rsid w:val="00727AB0"/>
    <w:rsid w:val="0074268A"/>
    <w:rsid w:val="00754285"/>
    <w:rsid w:val="0077199B"/>
    <w:rsid w:val="007830E0"/>
    <w:rsid w:val="00784647"/>
    <w:rsid w:val="00794CE1"/>
    <w:rsid w:val="007959E9"/>
    <w:rsid w:val="007A0343"/>
    <w:rsid w:val="007B69EA"/>
    <w:rsid w:val="007C36AA"/>
    <w:rsid w:val="007D471C"/>
    <w:rsid w:val="007D614A"/>
    <w:rsid w:val="007D73B9"/>
    <w:rsid w:val="007E36F5"/>
    <w:rsid w:val="007F1BE3"/>
    <w:rsid w:val="008040C2"/>
    <w:rsid w:val="00805903"/>
    <w:rsid w:val="00815F17"/>
    <w:rsid w:val="00826E19"/>
    <w:rsid w:val="008335A8"/>
    <w:rsid w:val="00853887"/>
    <w:rsid w:val="00854AAC"/>
    <w:rsid w:val="008814C3"/>
    <w:rsid w:val="008937C9"/>
    <w:rsid w:val="008A34DB"/>
    <w:rsid w:val="008A511D"/>
    <w:rsid w:val="008B083C"/>
    <w:rsid w:val="008B4808"/>
    <w:rsid w:val="008C00BA"/>
    <w:rsid w:val="008E629F"/>
    <w:rsid w:val="008E6676"/>
    <w:rsid w:val="008F13F8"/>
    <w:rsid w:val="008F37C6"/>
    <w:rsid w:val="00913495"/>
    <w:rsid w:val="009219AA"/>
    <w:rsid w:val="00924189"/>
    <w:rsid w:val="00924BBD"/>
    <w:rsid w:val="009352AF"/>
    <w:rsid w:val="009361B0"/>
    <w:rsid w:val="00972BD1"/>
    <w:rsid w:val="009940D7"/>
    <w:rsid w:val="009A57D2"/>
    <w:rsid w:val="009A5AA2"/>
    <w:rsid w:val="009B6602"/>
    <w:rsid w:val="009B7868"/>
    <w:rsid w:val="009C524E"/>
    <w:rsid w:val="009D0128"/>
    <w:rsid w:val="009D3DA0"/>
    <w:rsid w:val="009E69B9"/>
    <w:rsid w:val="00A06924"/>
    <w:rsid w:val="00A129F9"/>
    <w:rsid w:val="00A309F5"/>
    <w:rsid w:val="00A56E77"/>
    <w:rsid w:val="00A630CA"/>
    <w:rsid w:val="00A73A4C"/>
    <w:rsid w:val="00A74393"/>
    <w:rsid w:val="00A81D4F"/>
    <w:rsid w:val="00A849D7"/>
    <w:rsid w:val="00A97D94"/>
    <w:rsid w:val="00AA07EF"/>
    <w:rsid w:val="00AC0631"/>
    <w:rsid w:val="00AC1B8F"/>
    <w:rsid w:val="00AD01FF"/>
    <w:rsid w:val="00AD396D"/>
    <w:rsid w:val="00AE78EF"/>
    <w:rsid w:val="00B12AB2"/>
    <w:rsid w:val="00B150CA"/>
    <w:rsid w:val="00B25604"/>
    <w:rsid w:val="00B37FF3"/>
    <w:rsid w:val="00B46F8C"/>
    <w:rsid w:val="00B55929"/>
    <w:rsid w:val="00B55B51"/>
    <w:rsid w:val="00B603E8"/>
    <w:rsid w:val="00B652B3"/>
    <w:rsid w:val="00B65A6E"/>
    <w:rsid w:val="00B71211"/>
    <w:rsid w:val="00B816DA"/>
    <w:rsid w:val="00B87C00"/>
    <w:rsid w:val="00B90AEB"/>
    <w:rsid w:val="00B97A18"/>
    <w:rsid w:val="00BB4D1C"/>
    <w:rsid w:val="00BF2E7D"/>
    <w:rsid w:val="00BF6088"/>
    <w:rsid w:val="00C03DFD"/>
    <w:rsid w:val="00C26601"/>
    <w:rsid w:val="00C275E3"/>
    <w:rsid w:val="00C329AC"/>
    <w:rsid w:val="00C349D2"/>
    <w:rsid w:val="00C457F7"/>
    <w:rsid w:val="00C53520"/>
    <w:rsid w:val="00C722C9"/>
    <w:rsid w:val="00C753A4"/>
    <w:rsid w:val="00C82C6A"/>
    <w:rsid w:val="00C86525"/>
    <w:rsid w:val="00C962BE"/>
    <w:rsid w:val="00CA647A"/>
    <w:rsid w:val="00CB7357"/>
    <w:rsid w:val="00CC126D"/>
    <w:rsid w:val="00CC19A0"/>
    <w:rsid w:val="00CC7481"/>
    <w:rsid w:val="00CE352F"/>
    <w:rsid w:val="00CF516A"/>
    <w:rsid w:val="00CF7136"/>
    <w:rsid w:val="00D020C3"/>
    <w:rsid w:val="00D05011"/>
    <w:rsid w:val="00D14AED"/>
    <w:rsid w:val="00D1519D"/>
    <w:rsid w:val="00D42D6A"/>
    <w:rsid w:val="00D5404A"/>
    <w:rsid w:val="00D73CCF"/>
    <w:rsid w:val="00D7595B"/>
    <w:rsid w:val="00D76774"/>
    <w:rsid w:val="00DC40D4"/>
    <w:rsid w:val="00DC5BE3"/>
    <w:rsid w:val="00DC6F6C"/>
    <w:rsid w:val="00DD19B8"/>
    <w:rsid w:val="00DE1E6C"/>
    <w:rsid w:val="00DE21F2"/>
    <w:rsid w:val="00DF5C09"/>
    <w:rsid w:val="00DF6F2B"/>
    <w:rsid w:val="00E013A5"/>
    <w:rsid w:val="00E014D5"/>
    <w:rsid w:val="00E055A4"/>
    <w:rsid w:val="00E14B19"/>
    <w:rsid w:val="00E43AC1"/>
    <w:rsid w:val="00E43F65"/>
    <w:rsid w:val="00E537C1"/>
    <w:rsid w:val="00E55B81"/>
    <w:rsid w:val="00EA7251"/>
    <w:rsid w:val="00EB1923"/>
    <w:rsid w:val="00EB3704"/>
    <w:rsid w:val="00EC2DDA"/>
    <w:rsid w:val="00EC3459"/>
    <w:rsid w:val="00EF1B6D"/>
    <w:rsid w:val="00EF5B2E"/>
    <w:rsid w:val="00EF6770"/>
    <w:rsid w:val="00F245B2"/>
    <w:rsid w:val="00F25FAF"/>
    <w:rsid w:val="00F3367B"/>
    <w:rsid w:val="00F36183"/>
    <w:rsid w:val="00F47109"/>
    <w:rsid w:val="00F51902"/>
    <w:rsid w:val="00F5413F"/>
    <w:rsid w:val="00F56F56"/>
    <w:rsid w:val="00F60911"/>
    <w:rsid w:val="00F6729B"/>
    <w:rsid w:val="00F701A6"/>
    <w:rsid w:val="00F7475F"/>
    <w:rsid w:val="00F95C9D"/>
    <w:rsid w:val="00F96076"/>
    <w:rsid w:val="00FA275C"/>
    <w:rsid w:val="00FB0523"/>
    <w:rsid w:val="00FD0041"/>
    <w:rsid w:val="00FD37BC"/>
    <w:rsid w:val="00FD6A07"/>
    <w:rsid w:val="00FD6BCD"/>
    <w:rsid w:val="00FE110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1B0"/>
    <w:pPr>
      <w:spacing w:after="200" w:line="276" w:lineRule="auto"/>
    </w:pPr>
    <w:rPr>
      <w:rFonts w:eastAsia="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61B0"/>
    <w:pPr>
      <w:ind w:left="720"/>
      <w:contextualSpacing/>
    </w:pPr>
  </w:style>
  <w:style w:type="character" w:styleId="LineNumber">
    <w:name w:val="line number"/>
    <w:basedOn w:val="DefaultParagraphFont"/>
    <w:uiPriority w:val="99"/>
    <w:semiHidden/>
    <w:rsid w:val="009361B0"/>
    <w:rPr>
      <w:rFonts w:cs="Times New Roman"/>
    </w:rPr>
  </w:style>
  <w:style w:type="paragraph" w:styleId="Header">
    <w:name w:val="header"/>
    <w:basedOn w:val="Normal"/>
    <w:link w:val="HeaderChar"/>
    <w:uiPriority w:val="99"/>
    <w:rsid w:val="00E537C1"/>
    <w:pPr>
      <w:tabs>
        <w:tab w:val="center" w:pos="4680"/>
        <w:tab w:val="right" w:pos="9360"/>
      </w:tabs>
    </w:pPr>
  </w:style>
  <w:style w:type="character" w:customStyle="1" w:styleId="HeaderChar">
    <w:name w:val="Header Char"/>
    <w:basedOn w:val="DefaultParagraphFont"/>
    <w:link w:val="Header"/>
    <w:uiPriority w:val="99"/>
    <w:locked/>
    <w:rsid w:val="00E537C1"/>
    <w:rPr>
      <w:rFonts w:eastAsia="Times New Roman" w:cs="Times New Roman"/>
      <w:lang w:eastAsia="zh-CN"/>
    </w:rPr>
  </w:style>
  <w:style w:type="paragraph" w:styleId="Footer">
    <w:name w:val="footer"/>
    <w:basedOn w:val="Normal"/>
    <w:link w:val="FooterChar"/>
    <w:uiPriority w:val="99"/>
    <w:semiHidden/>
    <w:rsid w:val="00E537C1"/>
    <w:pPr>
      <w:tabs>
        <w:tab w:val="center" w:pos="4680"/>
        <w:tab w:val="right" w:pos="9360"/>
      </w:tabs>
    </w:pPr>
  </w:style>
  <w:style w:type="character" w:customStyle="1" w:styleId="FooterChar">
    <w:name w:val="Footer Char"/>
    <w:basedOn w:val="DefaultParagraphFont"/>
    <w:link w:val="Footer"/>
    <w:uiPriority w:val="99"/>
    <w:semiHidden/>
    <w:locked/>
    <w:rsid w:val="00E537C1"/>
    <w:rPr>
      <w:rFonts w:eastAsia="Times New Roman" w:cs="Times New Roman"/>
      <w:lang w:eastAsia="zh-CN"/>
    </w:rPr>
  </w:style>
  <w:style w:type="paragraph" w:styleId="BalloonText">
    <w:name w:val="Balloon Text"/>
    <w:basedOn w:val="Normal"/>
    <w:link w:val="BalloonTextChar"/>
    <w:uiPriority w:val="99"/>
    <w:semiHidden/>
    <w:rsid w:val="00614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4743"/>
    <w:rPr>
      <w:rFonts w:ascii="Tahoma" w:hAnsi="Tahoma" w:cs="Tahoma"/>
      <w:sz w:val="16"/>
      <w:szCs w:val="16"/>
      <w:lang w:eastAsia="zh-CN"/>
    </w:rPr>
  </w:style>
  <w:style w:type="character" w:styleId="CommentReference">
    <w:name w:val="annotation reference"/>
    <w:basedOn w:val="DefaultParagraphFont"/>
    <w:uiPriority w:val="99"/>
    <w:semiHidden/>
    <w:rsid w:val="00614743"/>
    <w:rPr>
      <w:rFonts w:cs="Times New Roman"/>
      <w:sz w:val="16"/>
      <w:szCs w:val="16"/>
    </w:rPr>
  </w:style>
  <w:style w:type="paragraph" w:styleId="CommentText">
    <w:name w:val="annotation text"/>
    <w:basedOn w:val="Normal"/>
    <w:link w:val="CommentTextChar"/>
    <w:uiPriority w:val="99"/>
    <w:semiHidden/>
    <w:rsid w:val="00614743"/>
    <w:rPr>
      <w:sz w:val="20"/>
      <w:szCs w:val="20"/>
    </w:rPr>
  </w:style>
  <w:style w:type="character" w:customStyle="1" w:styleId="CommentTextChar">
    <w:name w:val="Comment Text Char"/>
    <w:basedOn w:val="DefaultParagraphFont"/>
    <w:link w:val="CommentText"/>
    <w:uiPriority w:val="99"/>
    <w:semiHidden/>
    <w:locked/>
    <w:rsid w:val="00614743"/>
    <w:rPr>
      <w:rFonts w:eastAsia="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614743"/>
    <w:rPr>
      <w:b/>
      <w:bCs/>
    </w:rPr>
  </w:style>
  <w:style w:type="character" w:customStyle="1" w:styleId="CommentSubjectChar">
    <w:name w:val="Comment Subject Char"/>
    <w:basedOn w:val="CommentTextChar"/>
    <w:link w:val="CommentSubject"/>
    <w:uiPriority w:val="99"/>
    <w:semiHidden/>
    <w:locked/>
    <w:rsid w:val="00614743"/>
    <w:rPr>
      <w:rFonts w:eastAsia="Times New Roman" w:cs="Times New Roman"/>
      <w:b/>
      <w:bCs/>
      <w:sz w:val="20"/>
      <w:szCs w:val="20"/>
      <w:lang w:eastAsia="zh-CN"/>
    </w:rPr>
  </w:style>
  <w:style w:type="paragraph" w:styleId="NoSpacing">
    <w:name w:val="No Spacing"/>
    <w:uiPriority w:val="99"/>
    <w:qFormat/>
    <w:rsid w:val="00354BBF"/>
  </w:style>
  <w:style w:type="paragraph" w:styleId="Revision">
    <w:name w:val="Revision"/>
    <w:hidden/>
    <w:uiPriority w:val="99"/>
    <w:semiHidden/>
    <w:rsid w:val="00A06924"/>
    <w:rPr>
      <w:rFonts w:eastAsia="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1B0"/>
    <w:pPr>
      <w:spacing w:after="200" w:line="276" w:lineRule="auto"/>
    </w:pPr>
    <w:rPr>
      <w:rFonts w:eastAsia="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61B0"/>
    <w:pPr>
      <w:ind w:left="720"/>
      <w:contextualSpacing/>
    </w:pPr>
  </w:style>
  <w:style w:type="character" w:styleId="LineNumber">
    <w:name w:val="line number"/>
    <w:basedOn w:val="DefaultParagraphFont"/>
    <w:uiPriority w:val="99"/>
    <w:semiHidden/>
    <w:rsid w:val="009361B0"/>
    <w:rPr>
      <w:rFonts w:cs="Times New Roman"/>
    </w:rPr>
  </w:style>
  <w:style w:type="paragraph" w:styleId="Header">
    <w:name w:val="header"/>
    <w:basedOn w:val="Normal"/>
    <w:link w:val="HeaderChar"/>
    <w:uiPriority w:val="99"/>
    <w:rsid w:val="00E537C1"/>
    <w:pPr>
      <w:tabs>
        <w:tab w:val="center" w:pos="4680"/>
        <w:tab w:val="right" w:pos="9360"/>
      </w:tabs>
    </w:pPr>
  </w:style>
  <w:style w:type="character" w:customStyle="1" w:styleId="HeaderChar">
    <w:name w:val="Header Char"/>
    <w:basedOn w:val="DefaultParagraphFont"/>
    <w:link w:val="Header"/>
    <w:uiPriority w:val="99"/>
    <w:locked/>
    <w:rsid w:val="00E537C1"/>
    <w:rPr>
      <w:rFonts w:eastAsia="Times New Roman" w:cs="Times New Roman"/>
      <w:lang w:eastAsia="zh-CN"/>
    </w:rPr>
  </w:style>
  <w:style w:type="paragraph" w:styleId="Footer">
    <w:name w:val="footer"/>
    <w:basedOn w:val="Normal"/>
    <w:link w:val="FooterChar"/>
    <w:uiPriority w:val="99"/>
    <w:semiHidden/>
    <w:rsid w:val="00E537C1"/>
    <w:pPr>
      <w:tabs>
        <w:tab w:val="center" w:pos="4680"/>
        <w:tab w:val="right" w:pos="9360"/>
      </w:tabs>
    </w:pPr>
  </w:style>
  <w:style w:type="character" w:customStyle="1" w:styleId="FooterChar">
    <w:name w:val="Footer Char"/>
    <w:basedOn w:val="DefaultParagraphFont"/>
    <w:link w:val="Footer"/>
    <w:uiPriority w:val="99"/>
    <w:semiHidden/>
    <w:locked/>
    <w:rsid w:val="00E537C1"/>
    <w:rPr>
      <w:rFonts w:eastAsia="Times New Roman" w:cs="Times New Roman"/>
      <w:lang w:eastAsia="zh-CN"/>
    </w:rPr>
  </w:style>
  <w:style w:type="paragraph" w:styleId="BalloonText">
    <w:name w:val="Balloon Text"/>
    <w:basedOn w:val="Normal"/>
    <w:link w:val="BalloonTextChar"/>
    <w:uiPriority w:val="99"/>
    <w:semiHidden/>
    <w:rsid w:val="00614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4743"/>
    <w:rPr>
      <w:rFonts w:ascii="Tahoma" w:hAnsi="Tahoma" w:cs="Tahoma"/>
      <w:sz w:val="16"/>
      <w:szCs w:val="16"/>
      <w:lang w:eastAsia="zh-CN"/>
    </w:rPr>
  </w:style>
  <w:style w:type="character" w:styleId="CommentReference">
    <w:name w:val="annotation reference"/>
    <w:basedOn w:val="DefaultParagraphFont"/>
    <w:uiPriority w:val="99"/>
    <w:semiHidden/>
    <w:rsid w:val="00614743"/>
    <w:rPr>
      <w:rFonts w:cs="Times New Roman"/>
      <w:sz w:val="16"/>
      <w:szCs w:val="16"/>
    </w:rPr>
  </w:style>
  <w:style w:type="paragraph" w:styleId="CommentText">
    <w:name w:val="annotation text"/>
    <w:basedOn w:val="Normal"/>
    <w:link w:val="CommentTextChar"/>
    <w:uiPriority w:val="99"/>
    <w:semiHidden/>
    <w:rsid w:val="00614743"/>
    <w:rPr>
      <w:sz w:val="20"/>
      <w:szCs w:val="20"/>
    </w:rPr>
  </w:style>
  <w:style w:type="character" w:customStyle="1" w:styleId="CommentTextChar">
    <w:name w:val="Comment Text Char"/>
    <w:basedOn w:val="DefaultParagraphFont"/>
    <w:link w:val="CommentText"/>
    <w:uiPriority w:val="99"/>
    <w:semiHidden/>
    <w:locked/>
    <w:rsid w:val="00614743"/>
    <w:rPr>
      <w:rFonts w:eastAsia="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614743"/>
    <w:rPr>
      <w:b/>
      <w:bCs/>
    </w:rPr>
  </w:style>
  <w:style w:type="character" w:customStyle="1" w:styleId="CommentSubjectChar">
    <w:name w:val="Comment Subject Char"/>
    <w:basedOn w:val="CommentTextChar"/>
    <w:link w:val="CommentSubject"/>
    <w:uiPriority w:val="99"/>
    <w:semiHidden/>
    <w:locked/>
    <w:rsid w:val="00614743"/>
    <w:rPr>
      <w:rFonts w:eastAsia="Times New Roman" w:cs="Times New Roman"/>
      <w:b/>
      <w:bCs/>
      <w:sz w:val="20"/>
      <w:szCs w:val="20"/>
      <w:lang w:eastAsia="zh-CN"/>
    </w:rPr>
  </w:style>
  <w:style w:type="paragraph" w:styleId="NoSpacing">
    <w:name w:val="No Spacing"/>
    <w:uiPriority w:val="99"/>
    <w:qFormat/>
    <w:rsid w:val="00354BBF"/>
  </w:style>
  <w:style w:type="paragraph" w:styleId="Revision">
    <w:name w:val="Revision"/>
    <w:hidden/>
    <w:uiPriority w:val="99"/>
    <w:semiHidden/>
    <w:rsid w:val="00A06924"/>
    <w:rPr>
      <w:rFonts w:eastAsia="Times New Roman"/>
      <w:lang w:eastAsia="zh-CN"/>
    </w:rPr>
  </w:style>
</w:styles>
</file>

<file path=word/webSettings.xml><?xml version="1.0" encoding="utf-8"?>
<w:webSettings xmlns:r="http://schemas.openxmlformats.org/officeDocument/2006/relationships" xmlns:w="http://schemas.openxmlformats.org/wordprocessingml/2006/main">
  <w:divs>
    <w:div w:id="1684819357">
      <w:marLeft w:val="0"/>
      <w:marRight w:val="0"/>
      <w:marTop w:val="0"/>
      <w:marBottom w:val="0"/>
      <w:divBdr>
        <w:top w:val="none" w:sz="0" w:space="0" w:color="auto"/>
        <w:left w:val="none" w:sz="0" w:space="0" w:color="auto"/>
        <w:bottom w:val="none" w:sz="0" w:space="0" w:color="auto"/>
        <w:right w:val="none" w:sz="0" w:space="0" w:color="auto"/>
      </w:divBdr>
    </w:div>
    <w:div w:id="1684819358">
      <w:marLeft w:val="0"/>
      <w:marRight w:val="0"/>
      <w:marTop w:val="0"/>
      <w:marBottom w:val="0"/>
      <w:divBdr>
        <w:top w:val="none" w:sz="0" w:space="0" w:color="auto"/>
        <w:left w:val="none" w:sz="0" w:space="0" w:color="auto"/>
        <w:bottom w:val="none" w:sz="0" w:space="0" w:color="auto"/>
        <w:right w:val="none" w:sz="0" w:space="0" w:color="auto"/>
      </w:divBdr>
    </w:div>
    <w:div w:id="1684819359">
      <w:marLeft w:val="0"/>
      <w:marRight w:val="0"/>
      <w:marTop w:val="0"/>
      <w:marBottom w:val="0"/>
      <w:divBdr>
        <w:top w:val="none" w:sz="0" w:space="0" w:color="auto"/>
        <w:left w:val="none" w:sz="0" w:space="0" w:color="auto"/>
        <w:bottom w:val="none" w:sz="0" w:space="0" w:color="auto"/>
        <w:right w:val="none" w:sz="0" w:space="0" w:color="auto"/>
      </w:divBdr>
    </w:div>
    <w:div w:id="198399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3590</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2012-01-18T14:06:00Z</dcterms:created>
  <dcterms:modified xsi:type="dcterms:W3CDTF">2012-01-18T14:06:00Z</dcterms:modified>
</cp:coreProperties>
</file>