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A2B7" w14:textId="60F30D75" w:rsidR="009048DF" w:rsidRDefault="008F7D86">
      <w:r>
        <w:t>To:</w:t>
      </w:r>
      <w:r>
        <w:tab/>
        <w:t xml:space="preserve"> Distance </w:t>
      </w:r>
      <w:r w:rsidR="00C91DDB">
        <w:t>Learning</w:t>
      </w:r>
      <w:r>
        <w:t xml:space="preserve"> and Innovation Subcommittee</w:t>
      </w:r>
    </w:p>
    <w:p w14:paraId="014C36CD" w14:textId="77777777" w:rsidR="008F7D86" w:rsidRDefault="008F7D86"/>
    <w:p w14:paraId="63DF14A9" w14:textId="77777777" w:rsidR="008F7D86" w:rsidRDefault="008F7D86">
      <w:r>
        <w:t>cc:</w:t>
      </w:r>
      <w:r>
        <w:tab/>
        <w:t>Scott Filter</w:t>
      </w:r>
    </w:p>
    <w:p w14:paraId="00288E76" w14:textId="77777777" w:rsidR="008F7D86" w:rsidRDefault="008F7D86"/>
    <w:p w14:paraId="2EEDF57F" w14:textId="77777777" w:rsidR="008F7D86" w:rsidRDefault="008F7D86">
      <w:r>
        <w:t xml:space="preserve">From:  </w:t>
      </w:r>
      <w:r>
        <w:tab/>
        <w:t>Jillian Klein and Leah Matthews (with input from Russ Poulin)</w:t>
      </w:r>
    </w:p>
    <w:p w14:paraId="79EFDE8E" w14:textId="77777777" w:rsidR="008F7D86" w:rsidRDefault="008F7D86"/>
    <w:p w14:paraId="0239D883" w14:textId="77777777" w:rsidR="008F7D86" w:rsidRDefault="008F7D86">
      <w:r>
        <w:t>Date:</w:t>
      </w:r>
      <w:r>
        <w:tab/>
        <w:t>February 11, 2019</w:t>
      </w:r>
    </w:p>
    <w:p w14:paraId="0033D4DD" w14:textId="77777777" w:rsidR="008F7D86" w:rsidRDefault="008F7D86"/>
    <w:p w14:paraId="5F79C966" w14:textId="77777777" w:rsidR="008F7D86" w:rsidRDefault="008F7D86">
      <w:r>
        <w:t>RE:</w:t>
      </w:r>
      <w:r>
        <w:tab/>
        <w:t>Proposed Definitions for Regular and Substantive Interaction</w:t>
      </w:r>
    </w:p>
    <w:p w14:paraId="5E3037D9" w14:textId="77777777" w:rsidR="008F7D86" w:rsidRDefault="008F7D86">
      <w:pPr>
        <w:pBdr>
          <w:bottom w:val="single" w:sz="12" w:space="1" w:color="auto"/>
        </w:pBdr>
      </w:pPr>
    </w:p>
    <w:p w14:paraId="7ADB5BB1" w14:textId="77777777" w:rsidR="008F7D86" w:rsidRDefault="008F7D86" w:rsidP="008F7D86">
      <w:pPr>
        <w:spacing w:before="100" w:beforeAutospacing="1" w:after="100" w:afterAutospacing="1"/>
      </w:pPr>
      <w:r>
        <w:rPr>
          <w:rFonts w:ascii="Lucida Sans" w:hAnsi="Lucida Sans"/>
          <w:i/>
          <w:iCs/>
          <w:color w:val="000000"/>
          <w:sz w:val="18"/>
          <w:szCs w:val="18"/>
        </w:rPr>
        <w:t>Distance education </w:t>
      </w:r>
      <w:r>
        <w:rPr>
          <w:rFonts w:ascii="Lucida Sans" w:hAnsi="Lucida Sans"/>
          <w:color w:val="000000"/>
          <w:sz w:val="18"/>
          <w:szCs w:val="18"/>
        </w:rPr>
        <w:t>means education that uses one or more of the technologies listed in paragraphs </w:t>
      </w:r>
      <w:hyperlink r:id="rId5" w:tgtFrame="_blank" w:tooltip="(1)" w:history="1">
        <w:r>
          <w:rPr>
            <w:rStyle w:val="Hyperlink"/>
            <w:rFonts w:ascii="Lucida Sans" w:hAnsi="Lucida Sans"/>
            <w:color w:val="428BCA"/>
            <w:sz w:val="18"/>
            <w:szCs w:val="18"/>
          </w:rPr>
          <w:t>(1)</w:t>
        </w:r>
      </w:hyperlink>
      <w:r>
        <w:rPr>
          <w:rFonts w:ascii="Lucida Sans" w:hAnsi="Lucida Sans"/>
          <w:color w:val="000000"/>
          <w:sz w:val="18"/>
          <w:szCs w:val="18"/>
        </w:rPr>
        <w:t>through </w:t>
      </w:r>
      <w:hyperlink r:id="rId6" w:tgtFrame="_blank" w:tooltip="(4)" w:history="1">
        <w:r>
          <w:rPr>
            <w:rStyle w:val="Hyperlink"/>
            <w:rFonts w:ascii="Lucida Sans" w:hAnsi="Lucida Sans"/>
            <w:color w:val="428BCA"/>
            <w:sz w:val="18"/>
            <w:szCs w:val="18"/>
          </w:rPr>
          <w:t>(4)</w:t>
        </w:r>
      </w:hyperlink>
      <w:r>
        <w:rPr>
          <w:rFonts w:ascii="Lucida Sans" w:hAnsi="Lucida Sans"/>
          <w:color w:val="000000"/>
          <w:sz w:val="18"/>
          <w:szCs w:val="18"/>
        </w:rPr>
        <w:t xml:space="preserve"> of this definition to deliver instruction to students who are separated from the instructor and to support regular and substantive interaction between the students and the instructor, either synchronously or asynchronously. </w:t>
      </w:r>
      <w:r>
        <w:rPr>
          <w:rFonts w:ascii="Lucida Sans" w:hAnsi="Lucida Sans"/>
          <w:strike/>
          <w:color w:val="000000"/>
          <w:sz w:val="18"/>
          <w:szCs w:val="18"/>
        </w:rPr>
        <w:t>The technologies may include—</w:t>
      </w:r>
    </w:p>
    <w:p w14:paraId="4C5989AA" w14:textId="77777777" w:rsidR="008F7D86" w:rsidRDefault="008F7D86" w:rsidP="008F7D86">
      <w:pPr>
        <w:numPr>
          <w:ilvl w:val="0"/>
          <w:numId w:val="1"/>
        </w:numPr>
        <w:shd w:val="clear" w:color="auto" w:fill="FFFFFF"/>
        <w:spacing w:before="100" w:beforeAutospacing="1" w:after="150" w:line="276" w:lineRule="auto"/>
        <w:ind w:left="1080"/>
        <w:rPr>
          <w:color w:val="FF0000"/>
        </w:rPr>
      </w:pPr>
      <w:bookmarkStart w:id="0" w:name="m_529767314464632853_suba600243321"/>
      <w:bookmarkEnd w:id="0"/>
      <w:r>
        <w:rPr>
          <w:rFonts w:ascii="Lucida Sans" w:hAnsi="Lucida Sans"/>
          <w:color w:val="000000"/>
          <w:sz w:val="18"/>
          <w:szCs w:val="18"/>
        </w:rPr>
        <w:t xml:space="preserve">The </w:t>
      </w:r>
      <w:r>
        <w:rPr>
          <w:rFonts w:ascii="Lucida Sans" w:hAnsi="Lucida Sans"/>
          <w:color w:val="FF0000"/>
          <w:sz w:val="18"/>
          <w:szCs w:val="18"/>
        </w:rPr>
        <w:t xml:space="preserve">technologies that may be used to deliver distance education include – </w:t>
      </w:r>
    </w:p>
    <w:p w14:paraId="22031C0C" w14:textId="77777777" w:rsidR="008F7D86" w:rsidRDefault="008F7D86" w:rsidP="008F7D86">
      <w:pPr>
        <w:shd w:val="clear" w:color="auto" w:fill="FFFFFF"/>
        <w:spacing w:before="100" w:beforeAutospacing="1" w:after="150" w:line="276" w:lineRule="auto"/>
        <w:ind w:left="1800"/>
      </w:pPr>
      <w:r>
        <w:rPr>
          <w:rFonts w:ascii="Lucida Sans" w:hAnsi="Lucida Sans"/>
          <w:color w:val="000000"/>
          <w:sz w:val="18"/>
          <w:szCs w:val="18"/>
        </w:rPr>
        <w:t>(</w:t>
      </w:r>
      <w:proofErr w:type="spellStart"/>
      <w:r>
        <w:rPr>
          <w:rFonts w:ascii="Lucida Sans" w:hAnsi="Lucida Sans"/>
          <w:color w:val="000000"/>
          <w:sz w:val="18"/>
          <w:szCs w:val="18"/>
        </w:rPr>
        <w:t>i</w:t>
      </w:r>
      <w:proofErr w:type="spellEnd"/>
      <w:r>
        <w:rPr>
          <w:rFonts w:ascii="Lucida Sans" w:hAnsi="Lucida Sans"/>
          <w:color w:val="000000"/>
          <w:sz w:val="18"/>
          <w:szCs w:val="18"/>
        </w:rPr>
        <w:t>)</w:t>
      </w:r>
      <w:r>
        <w:rPr>
          <w:rFonts w:ascii="Times New Roman" w:hAnsi="Times New Roman" w:cs="Times New Roman"/>
          <w:color w:val="000000"/>
          <w:sz w:val="14"/>
          <w:szCs w:val="14"/>
        </w:rPr>
        <w:t xml:space="preserve">             </w:t>
      </w:r>
      <w:r>
        <w:rPr>
          <w:rFonts w:ascii="Lucida Sans" w:hAnsi="Lucida Sans"/>
          <w:color w:val="FF0000"/>
          <w:sz w:val="18"/>
          <w:szCs w:val="18"/>
        </w:rPr>
        <w:t xml:space="preserve">The </w:t>
      </w:r>
      <w:r>
        <w:rPr>
          <w:rFonts w:ascii="Lucida Sans" w:hAnsi="Lucida Sans"/>
          <w:color w:val="000000"/>
          <w:sz w:val="18"/>
          <w:szCs w:val="18"/>
        </w:rPr>
        <w:t>internet;</w:t>
      </w:r>
      <w:bookmarkStart w:id="1" w:name="m_529767314464632853_suba600243322"/>
      <w:bookmarkEnd w:id="1"/>
    </w:p>
    <w:p w14:paraId="6C57B14D" w14:textId="77777777" w:rsidR="008F7D86" w:rsidRDefault="008F7D86" w:rsidP="008F7D86">
      <w:pPr>
        <w:shd w:val="clear" w:color="auto" w:fill="FFFFFF"/>
        <w:spacing w:before="100" w:beforeAutospacing="1" w:after="150" w:line="276" w:lineRule="auto"/>
        <w:ind w:left="1800"/>
      </w:pPr>
      <w:r>
        <w:rPr>
          <w:rFonts w:ascii="Lucida Sans" w:hAnsi="Lucida Sans"/>
          <w:color w:val="000000"/>
          <w:sz w:val="18"/>
          <w:szCs w:val="18"/>
        </w:rPr>
        <w:t>(ii)</w:t>
      </w:r>
      <w:r>
        <w:rPr>
          <w:rFonts w:ascii="Times New Roman" w:hAnsi="Times New Roman" w:cs="Times New Roman"/>
          <w:color w:val="000000"/>
          <w:sz w:val="14"/>
          <w:szCs w:val="14"/>
        </w:rPr>
        <w:t xml:space="preserve">           </w:t>
      </w:r>
      <w:r>
        <w:rPr>
          <w:rFonts w:ascii="Lucida Sans" w:hAnsi="Lucida Sans"/>
          <w:color w:val="000000"/>
          <w:sz w:val="18"/>
          <w:szCs w:val="18"/>
        </w:rPr>
        <w:t>One-way and two-way transmissions through open broadcast, closed circuit, cable, microwave, broadband lines, fiber optics, satellite, or wireless communications devices;</w:t>
      </w:r>
      <w:bookmarkStart w:id="2" w:name="m_529767314464632853_suba600243323"/>
      <w:bookmarkEnd w:id="2"/>
    </w:p>
    <w:p w14:paraId="7B39D8F8" w14:textId="77777777" w:rsidR="008F7D86" w:rsidRDefault="008F7D86" w:rsidP="008F7D86">
      <w:pPr>
        <w:shd w:val="clear" w:color="auto" w:fill="FFFFFF"/>
        <w:spacing w:before="100" w:beforeAutospacing="1" w:after="150" w:line="276" w:lineRule="auto"/>
        <w:ind w:left="1800"/>
      </w:pPr>
      <w:r>
        <w:rPr>
          <w:rFonts w:ascii="Lucida Sans" w:hAnsi="Lucida Sans"/>
          <w:color w:val="000000"/>
          <w:sz w:val="18"/>
          <w:szCs w:val="18"/>
        </w:rPr>
        <w:t>(iii)</w:t>
      </w:r>
      <w:r>
        <w:rPr>
          <w:rFonts w:ascii="Times New Roman" w:hAnsi="Times New Roman" w:cs="Times New Roman"/>
          <w:color w:val="000000"/>
          <w:sz w:val="14"/>
          <w:szCs w:val="14"/>
        </w:rPr>
        <w:t xml:space="preserve">          </w:t>
      </w:r>
      <w:r>
        <w:rPr>
          <w:rFonts w:ascii="Lucida Sans" w:hAnsi="Lucida Sans"/>
          <w:color w:val="000000"/>
          <w:sz w:val="18"/>
          <w:szCs w:val="18"/>
        </w:rPr>
        <w:t>Audio conferencing; or</w:t>
      </w:r>
      <w:bookmarkStart w:id="3" w:name="m_529767314464632853_suba600243324"/>
      <w:bookmarkEnd w:id="3"/>
    </w:p>
    <w:p w14:paraId="7545A7FD" w14:textId="77777777" w:rsidR="008F7D86" w:rsidRDefault="008F7D86" w:rsidP="008F7D86">
      <w:pPr>
        <w:shd w:val="clear" w:color="auto" w:fill="FFFFFF"/>
        <w:spacing w:before="100" w:beforeAutospacing="1" w:after="150" w:line="276" w:lineRule="auto"/>
        <w:ind w:left="1800"/>
      </w:pPr>
      <w:r>
        <w:rPr>
          <w:rFonts w:ascii="Lucida Sans" w:hAnsi="Lucida Sans"/>
          <w:color w:val="000000"/>
          <w:sz w:val="18"/>
          <w:szCs w:val="18"/>
        </w:rPr>
        <w:t>(iv)</w:t>
      </w:r>
      <w:r>
        <w:rPr>
          <w:rFonts w:ascii="Times New Roman" w:hAnsi="Times New Roman" w:cs="Times New Roman"/>
          <w:color w:val="000000"/>
          <w:sz w:val="14"/>
          <w:szCs w:val="14"/>
        </w:rPr>
        <w:t xml:space="preserve">          </w:t>
      </w:r>
      <w:r>
        <w:rPr>
          <w:rFonts w:ascii="Lucida Sans" w:hAnsi="Lucida Sans"/>
          <w:color w:val="000000"/>
          <w:sz w:val="18"/>
          <w:szCs w:val="18"/>
        </w:rPr>
        <w:t>Video cassettes, DVDs, and CD– ROMs, if the cassettes, DVDs, or CD– ROMs are used in a course in conjunction with any of the technologies listed in paragraphs </w:t>
      </w:r>
      <w:hyperlink r:id="rId7" w:tgtFrame="_blank" w:tooltip="(1)" w:history="1">
        <w:r>
          <w:rPr>
            <w:rStyle w:val="Hyperlink"/>
            <w:rFonts w:ascii="Lucida Sans" w:hAnsi="Lucida Sans"/>
            <w:color w:val="428BCA"/>
            <w:sz w:val="18"/>
            <w:szCs w:val="18"/>
          </w:rPr>
          <w:t>(1)</w:t>
        </w:r>
      </w:hyperlink>
      <w:r>
        <w:rPr>
          <w:rFonts w:ascii="Lucida Sans" w:hAnsi="Lucida Sans"/>
          <w:color w:val="000000"/>
          <w:sz w:val="18"/>
          <w:szCs w:val="18"/>
        </w:rPr>
        <w:t> through </w:t>
      </w:r>
      <w:hyperlink r:id="rId8" w:tgtFrame="_blank" w:tooltip="(3)" w:history="1">
        <w:r>
          <w:rPr>
            <w:rStyle w:val="Hyperlink"/>
            <w:rFonts w:ascii="Lucida Sans" w:hAnsi="Lucida Sans"/>
            <w:color w:val="428BCA"/>
            <w:sz w:val="18"/>
            <w:szCs w:val="18"/>
          </w:rPr>
          <w:t>(3)</w:t>
        </w:r>
      </w:hyperlink>
      <w:r>
        <w:rPr>
          <w:rFonts w:ascii="Lucida Sans" w:hAnsi="Lucida Sans"/>
          <w:color w:val="000000"/>
          <w:sz w:val="18"/>
          <w:szCs w:val="18"/>
        </w:rPr>
        <w:t> of this definition.</w:t>
      </w:r>
    </w:p>
    <w:p w14:paraId="0C4A8588" w14:textId="77777777" w:rsidR="008F7D86" w:rsidRDefault="008F7D86" w:rsidP="008F7D86">
      <w:pPr>
        <w:numPr>
          <w:ilvl w:val="0"/>
          <w:numId w:val="2"/>
        </w:numPr>
        <w:shd w:val="clear" w:color="auto" w:fill="FFFFFF"/>
        <w:spacing w:before="100" w:beforeAutospacing="1" w:after="150" w:line="276" w:lineRule="auto"/>
        <w:ind w:left="1080"/>
        <w:rPr>
          <w:color w:val="FF0000"/>
        </w:rPr>
      </w:pPr>
      <w:r>
        <w:rPr>
          <w:rFonts w:ascii="Lucida Sans" w:hAnsi="Lucida Sans"/>
          <w:color w:val="FF0000"/>
          <w:sz w:val="18"/>
          <w:szCs w:val="18"/>
        </w:rPr>
        <w:t xml:space="preserve">Regular interaction is defined </w:t>
      </w:r>
      <w:proofErr w:type="gramStart"/>
      <w:r>
        <w:rPr>
          <w:rFonts w:ascii="Lucida Sans" w:hAnsi="Lucida Sans"/>
          <w:color w:val="FF0000"/>
          <w:sz w:val="18"/>
          <w:szCs w:val="18"/>
        </w:rPr>
        <w:t>as  –</w:t>
      </w:r>
      <w:proofErr w:type="gramEnd"/>
      <w:r>
        <w:rPr>
          <w:rFonts w:ascii="Lucida Sans" w:hAnsi="Lucida Sans"/>
          <w:color w:val="FF0000"/>
          <w:sz w:val="18"/>
          <w:szCs w:val="18"/>
        </w:rPr>
        <w:t xml:space="preserve"> </w:t>
      </w:r>
    </w:p>
    <w:p w14:paraId="21F1662F" w14:textId="77777777" w:rsidR="008F7D86" w:rsidRDefault="008F7D86" w:rsidP="008F7D86">
      <w:pPr>
        <w:shd w:val="clear" w:color="auto" w:fill="FFFFFF"/>
        <w:spacing w:before="100" w:beforeAutospacing="1" w:after="150" w:line="276" w:lineRule="auto"/>
        <w:ind w:left="2160"/>
      </w:pPr>
      <w:r>
        <w:rPr>
          <w:rFonts w:ascii="Lucida Sans" w:hAnsi="Lucida Sans"/>
          <w:color w:val="FF0000"/>
          <w:sz w:val="18"/>
          <w:szCs w:val="18"/>
        </w:rPr>
        <w:t>(</w:t>
      </w:r>
      <w:proofErr w:type="spellStart"/>
      <w:r>
        <w:rPr>
          <w:rFonts w:ascii="Lucida Sans" w:hAnsi="Lucida Sans"/>
          <w:color w:val="FF0000"/>
          <w:sz w:val="18"/>
          <w:szCs w:val="18"/>
        </w:rPr>
        <w:t>i</w:t>
      </w:r>
      <w:proofErr w:type="spellEnd"/>
      <w:r>
        <w:rPr>
          <w:rFonts w:ascii="Lucida Sans" w:hAnsi="Lucida Sans"/>
          <w:color w:val="FF0000"/>
          <w:sz w:val="18"/>
          <w:szCs w:val="18"/>
        </w:rPr>
        <w:t>)</w:t>
      </w:r>
      <w:r>
        <w:rPr>
          <w:rFonts w:ascii="Times New Roman" w:hAnsi="Times New Roman" w:cs="Times New Roman"/>
          <w:color w:val="FF0000"/>
          <w:sz w:val="14"/>
          <w:szCs w:val="14"/>
        </w:rPr>
        <w:t xml:space="preserve">             </w:t>
      </w:r>
      <w:r>
        <w:rPr>
          <w:rFonts w:ascii="Lucida Sans" w:hAnsi="Lucida Sans"/>
          <w:color w:val="FF0000"/>
          <w:sz w:val="18"/>
          <w:szCs w:val="18"/>
        </w:rPr>
        <w:t xml:space="preserve">being </w:t>
      </w:r>
      <w:commentRangeStart w:id="4"/>
      <w:r>
        <w:rPr>
          <w:rFonts w:ascii="Lucida Sans" w:hAnsi="Lucida Sans"/>
          <w:color w:val="FF0000"/>
          <w:sz w:val="18"/>
          <w:szCs w:val="18"/>
        </w:rPr>
        <w:t>initiated by the instructor</w:t>
      </w:r>
      <w:commentRangeEnd w:id="4"/>
      <w:r>
        <w:rPr>
          <w:rStyle w:val="CommentReference"/>
        </w:rPr>
        <w:commentReference w:id="4"/>
      </w:r>
      <w:r>
        <w:rPr>
          <w:rFonts w:ascii="Lucida Sans" w:hAnsi="Lucida Sans"/>
          <w:color w:val="FF0000"/>
          <w:sz w:val="18"/>
          <w:szCs w:val="18"/>
        </w:rPr>
        <w:t xml:space="preserve">, as defined in 600.2, </w:t>
      </w:r>
    </w:p>
    <w:p w14:paraId="44E9E042" w14:textId="77777777" w:rsidR="008F7D86" w:rsidRDefault="008F7D86" w:rsidP="008F7D86">
      <w:pPr>
        <w:shd w:val="clear" w:color="auto" w:fill="FFFFFF"/>
        <w:spacing w:before="100" w:beforeAutospacing="1" w:after="150" w:line="276" w:lineRule="auto"/>
        <w:ind w:left="2160"/>
      </w:pPr>
      <w:r>
        <w:rPr>
          <w:rFonts w:ascii="Lucida Sans" w:hAnsi="Lucida Sans"/>
          <w:color w:val="FF0000"/>
          <w:sz w:val="18"/>
          <w:szCs w:val="18"/>
        </w:rPr>
        <w:t>(ii)</w:t>
      </w:r>
      <w:r>
        <w:rPr>
          <w:rFonts w:ascii="Times New Roman" w:hAnsi="Times New Roman" w:cs="Times New Roman"/>
          <w:color w:val="FF0000"/>
          <w:sz w:val="14"/>
          <w:szCs w:val="14"/>
        </w:rPr>
        <w:t xml:space="preserve">           </w:t>
      </w:r>
      <w:r>
        <w:rPr>
          <w:rFonts w:ascii="Lucida Sans" w:hAnsi="Lucida Sans"/>
          <w:color w:val="FF0000"/>
          <w:sz w:val="18"/>
          <w:szCs w:val="18"/>
        </w:rPr>
        <w:t>occurring through predictable and regular intervals, and</w:t>
      </w:r>
    </w:p>
    <w:p w14:paraId="5B4D0CE1" w14:textId="77777777" w:rsidR="008F7D86" w:rsidRDefault="008F7D86" w:rsidP="008F7D86">
      <w:pPr>
        <w:shd w:val="clear" w:color="auto" w:fill="FFFFFF"/>
        <w:spacing w:before="100" w:beforeAutospacing="1" w:after="150" w:line="276" w:lineRule="auto"/>
        <w:ind w:left="2160"/>
      </w:pPr>
      <w:r>
        <w:rPr>
          <w:rFonts w:ascii="Lucida Sans" w:hAnsi="Lucida Sans"/>
          <w:color w:val="FF0000"/>
          <w:sz w:val="18"/>
          <w:szCs w:val="18"/>
        </w:rPr>
        <w:t>(iii)</w:t>
      </w:r>
      <w:r>
        <w:rPr>
          <w:rFonts w:ascii="Times New Roman" w:hAnsi="Times New Roman" w:cs="Times New Roman"/>
          <w:color w:val="FF0000"/>
          <w:sz w:val="14"/>
          <w:szCs w:val="14"/>
        </w:rPr>
        <w:t xml:space="preserve">          </w:t>
      </w:r>
      <w:r>
        <w:rPr>
          <w:rFonts w:ascii="Lucida Sans" w:hAnsi="Lucida Sans"/>
          <w:color w:val="FF0000"/>
          <w:sz w:val="18"/>
          <w:szCs w:val="18"/>
        </w:rPr>
        <w:t xml:space="preserve">covering the </w:t>
      </w:r>
      <w:proofErr w:type="gramStart"/>
      <w:r>
        <w:rPr>
          <w:rFonts w:ascii="Lucida Sans" w:hAnsi="Lucida Sans"/>
          <w:color w:val="FF0000"/>
          <w:sz w:val="18"/>
          <w:szCs w:val="18"/>
        </w:rPr>
        <w:t>period of time</w:t>
      </w:r>
      <w:proofErr w:type="gramEnd"/>
      <w:r>
        <w:rPr>
          <w:rFonts w:ascii="Lucida Sans" w:hAnsi="Lucida Sans"/>
          <w:color w:val="FF0000"/>
          <w:sz w:val="18"/>
          <w:szCs w:val="18"/>
        </w:rPr>
        <w:t xml:space="preserve"> prior to completion of all required assignments and demonstration of competency.</w:t>
      </w:r>
    </w:p>
    <w:p w14:paraId="35F409D4" w14:textId="77777777" w:rsidR="008F7D86" w:rsidRDefault="008F7D86" w:rsidP="008F7D86">
      <w:pPr>
        <w:numPr>
          <w:ilvl w:val="0"/>
          <w:numId w:val="3"/>
        </w:numPr>
        <w:shd w:val="clear" w:color="auto" w:fill="FFFFFF"/>
        <w:spacing w:before="100" w:beforeAutospacing="1" w:after="150" w:line="276" w:lineRule="auto"/>
        <w:ind w:left="1080"/>
        <w:rPr>
          <w:color w:val="FF0000"/>
        </w:rPr>
      </w:pPr>
      <w:r>
        <w:rPr>
          <w:rFonts w:ascii="Lucida Sans" w:hAnsi="Lucida Sans"/>
          <w:color w:val="FF0000"/>
          <w:sz w:val="18"/>
          <w:szCs w:val="18"/>
        </w:rPr>
        <w:t xml:space="preserve">Substantive interaction is defined as – </w:t>
      </w:r>
    </w:p>
    <w:p w14:paraId="6E29C7AE" w14:textId="77777777" w:rsidR="008F7D86" w:rsidRDefault="008F7D86" w:rsidP="008F7D86">
      <w:pPr>
        <w:pStyle w:val="ListParagraph"/>
        <w:numPr>
          <w:ilvl w:val="3"/>
          <w:numId w:val="3"/>
        </w:numPr>
        <w:shd w:val="clear" w:color="auto" w:fill="FFFFFF"/>
        <w:spacing w:before="100" w:beforeAutospacing="1" w:after="150" w:line="276" w:lineRule="auto"/>
        <w:ind w:left="2790" w:hanging="630"/>
        <w:rPr>
          <w:color w:val="FF0000"/>
        </w:rPr>
      </w:pPr>
      <w:r>
        <w:rPr>
          <w:rFonts w:ascii="Lucida Sans" w:hAnsi="Lucida Sans"/>
          <w:color w:val="FF0000"/>
          <w:sz w:val="18"/>
          <w:szCs w:val="18"/>
        </w:rPr>
        <w:t>delivering an academic process, consistent with satisfactory academic progress requirements</w:t>
      </w:r>
      <w:r>
        <w:rPr>
          <w:rFonts w:ascii="Lucida Sans" w:hAnsi="Lucida Sans"/>
          <w:color w:val="FF0000"/>
          <w:sz w:val="18"/>
          <w:szCs w:val="18"/>
        </w:rPr>
        <w:t>,</w:t>
      </w:r>
      <w:r>
        <w:rPr>
          <w:rFonts w:ascii="Lucida Sans" w:hAnsi="Lucida Sans"/>
          <w:color w:val="FF0000"/>
          <w:sz w:val="18"/>
          <w:szCs w:val="18"/>
        </w:rPr>
        <w:t xml:space="preserve"> as set forth in 34 CFR § 668.34, that engages students in teaching and learning, and</w:t>
      </w:r>
    </w:p>
    <w:p w14:paraId="53DE4ADB" w14:textId="77777777" w:rsidR="008F7D86" w:rsidRDefault="008F7D86" w:rsidP="008F7D86">
      <w:pPr>
        <w:pStyle w:val="ListParagraph"/>
        <w:numPr>
          <w:ilvl w:val="3"/>
          <w:numId w:val="3"/>
        </w:numPr>
        <w:shd w:val="clear" w:color="auto" w:fill="FFFFFF"/>
        <w:spacing w:before="100" w:beforeAutospacing="1" w:after="150" w:line="276" w:lineRule="auto"/>
        <w:ind w:left="2790" w:hanging="630"/>
        <w:rPr>
          <w:color w:val="FF0000"/>
        </w:rPr>
      </w:pPr>
      <w:r>
        <w:rPr>
          <w:rFonts w:ascii="Lucida Sans" w:hAnsi="Lucida Sans"/>
          <w:color w:val="FF0000"/>
          <w:sz w:val="18"/>
          <w:szCs w:val="18"/>
        </w:rPr>
        <w:t>providing systematic and continual assessment of student learning outcomes.</w:t>
      </w:r>
    </w:p>
    <w:p w14:paraId="7C64F287" w14:textId="383D648A" w:rsidR="008F7D86" w:rsidRDefault="008F7D86" w:rsidP="003235B3">
      <w:pPr>
        <w:spacing w:before="100" w:beforeAutospacing="1" w:after="100" w:afterAutospacing="1" w:line="276" w:lineRule="auto"/>
      </w:pPr>
      <w:r>
        <w:rPr>
          <w:b/>
          <w:bCs/>
          <w:color w:val="FF0000"/>
        </w:rPr>
        <w:t>600.2</w:t>
      </w:r>
      <w:r>
        <w:rPr>
          <w:b/>
          <w:bCs/>
          <w:color w:val="FF0000"/>
        </w:rPr>
        <w:br/>
      </w:r>
      <w:r>
        <w:rPr>
          <w:i/>
          <w:iCs/>
          <w:color w:val="FF0000"/>
        </w:rPr>
        <w:t xml:space="preserve">Instructor: </w:t>
      </w:r>
      <w:r>
        <w:rPr>
          <w:color w:val="FF0000"/>
        </w:rPr>
        <w:t>An instructor can include one or more persons employed by the institution, making up an instructional team, so long as this team includes at least one faculty member, as defined by the criteria established by the institution’s accrediting agency, wh</w:t>
      </w:r>
      <w:r>
        <w:rPr>
          <w:color w:val="C00000"/>
        </w:rPr>
        <w:t xml:space="preserve">o, independently or as a member of an instructional team, </w:t>
      </w:r>
      <w:r>
        <w:rPr>
          <w:color w:val="FF0000"/>
        </w:rPr>
        <w:t>must provide regular and substantive interactions to</w:t>
      </w:r>
      <w:r>
        <w:rPr>
          <w:color w:val="00B050"/>
        </w:rPr>
        <w:t xml:space="preserve"> </w:t>
      </w:r>
      <w:r>
        <w:rPr>
          <w:color w:val="FF0000"/>
        </w:rPr>
        <w:t>students.</w:t>
      </w:r>
      <w:r>
        <w:rPr>
          <w:i/>
          <w:iCs/>
          <w:color w:val="FF0000"/>
        </w:rPr>
        <w:t xml:space="preserve">  </w:t>
      </w:r>
    </w:p>
    <w:p w14:paraId="47B91669" w14:textId="77777777" w:rsidR="008F7D86" w:rsidRDefault="008F7D86"/>
    <w:sectPr w:rsidR="008F7D86" w:rsidSect="008F7D86">
      <w:pgSz w:w="12240" w:h="15840"/>
      <w:pgMar w:top="1440" w:right="1170" w:bottom="2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Leah K. Matthews" w:date="2019-02-11T16:44:00Z" w:initials="LKM">
    <w:p w14:paraId="17D3EF71" w14:textId="48DA63A2" w:rsidR="008F7D86" w:rsidRDefault="008F7D86">
      <w:pPr>
        <w:pStyle w:val="CommentText"/>
      </w:pPr>
      <w:r>
        <w:rPr>
          <w:rStyle w:val="CommentReference"/>
        </w:rPr>
        <w:annotationRef/>
      </w:r>
      <w:r>
        <w:t xml:space="preserve">Russ Poulin asks the committee </w:t>
      </w:r>
      <w:r w:rsidR="004440B5">
        <w:t>to consider</w:t>
      </w:r>
      <w:bookmarkStart w:id="5" w:name="_GoBack"/>
      <w:bookmarkEnd w:id="5"/>
      <w:r>
        <w:t xml:space="preserve"> alternative language; widespread use of competency-based education with different interactive models utilizes instructors outside of the more traditional role that was anticipated at the inception of “regular and substantive”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3E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3EF71" w16cid:durableId="200C24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D02"/>
    <w:multiLevelType w:val="multilevel"/>
    <w:tmpl w:val="F27E5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053D30"/>
    <w:multiLevelType w:val="multilevel"/>
    <w:tmpl w:val="8D22C6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ascii="Lucida Sans" w:hAnsi="Lucida Sans" w:hint="default"/>
        <w:sz w:val="18"/>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684F7B"/>
    <w:multiLevelType w:val="multilevel"/>
    <w:tmpl w:val="B42207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ah K. Matthews">
    <w15:presenceInfo w15:providerId="None" w15:userId="Leah K. Matth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86"/>
    <w:rsid w:val="003235B3"/>
    <w:rsid w:val="004440B5"/>
    <w:rsid w:val="008F7D86"/>
    <w:rsid w:val="009048DF"/>
    <w:rsid w:val="00C91DDB"/>
    <w:rsid w:val="00E4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CF1D"/>
  <w15:chartTrackingRefBased/>
  <w15:docId w15:val="{6CE2910E-034A-4E3A-9C8D-B37EDFFD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D86"/>
    <w:rPr>
      <w:color w:val="0563C1"/>
      <w:u w:val="single"/>
    </w:rPr>
  </w:style>
  <w:style w:type="paragraph" w:styleId="ListParagraph">
    <w:name w:val="List Paragraph"/>
    <w:basedOn w:val="Normal"/>
    <w:uiPriority w:val="34"/>
    <w:qFormat/>
    <w:rsid w:val="008F7D86"/>
    <w:pPr>
      <w:ind w:left="720"/>
    </w:pPr>
    <w:rPr>
      <w:rFonts w:ascii="Calibri" w:hAnsi="Calibri" w:cs="Calibri"/>
    </w:rPr>
  </w:style>
  <w:style w:type="character" w:styleId="CommentReference">
    <w:name w:val="annotation reference"/>
    <w:basedOn w:val="DefaultParagraphFont"/>
    <w:uiPriority w:val="99"/>
    <w:semiHidden/>
    <w:unhideWhenUsed/>
    <w:rsid w:val="008F7D86"/>
    <w:rPr>
      <w:sz w:val="16"/>
      <w:szCs w:val="16"/>
    </w:rPr>
  </w:style>
  <w:style w:type="paragraph" w:styleId="CommentText">
    <w:name w:val="annotation text"/>
    <w:basedOn w:val="Normal"/>
    <w:link w:val="CommentTextChar"/>
    <w:uiPriority w:val="99"/>
    <w:semiHidden/>
    <w:unhideWhenUsed/>
    <w:rsid w:val="008F7D86"/>
    <w:rPr>
      <w:sz w:val="20"/>
      <w:szCs w:val="20"/>
    </w:rPr>
  </w:style>
  <w:style w:type="character" w:customStyle="1" w:styleId="CommentTextChar">
    <w:name w:val="Comment Text Char"/>
    <w:basedOn w:val="DefaultParagraphFont"/>
    <w:link w:val="CommentText"/>
    <w:uiPriority w:val="99"/>
    <w:semiHidden/>
    <w:rsid w:val="008F7D86"/>
    <w:rPr>
      <w:sz w:val="20"/>
      <w:szCs w:val="20"/>
    </w:rPr>
  </w:style>
  <w:style w:type="paragraph" w:styleId="CommentSubject">
    <w:name w:val="annotation subject"/>
    <w:basedOn w:val="CommentText"/>
    <w:next w:val="CommentText"/>
    <w:link w:val="CommentSubjectChar"/>
    <w:uiPriority w:val="99"/>
    <w:semiHidden/>
    <w:unhideWhenUsed/>
    <w:rsid w:val="008F7D86"/>
    <w:rPr>
      <w:b/>
      <w:bCs/>
    </w:rPr>
  </w:style>
  <w:style w:type="character" w:customStyle="1" w:styleId="CommentSubjectChar">
    <w:name w:val="Comment Subject Char"/>
    <w:basedOn w:val="CommentTextChar"/>
    <w:link w:val="CommentSubject"/>
    <w:uiPriority w:val="99"/>
    <w:semiHidden/>
    <w:rsid w:val="008F7D86"/>
    <w:rPr>
      <w:b/>
      <w:bCs/>
      <w:sz w:val="20"/>
      <w:szCs w:val="20"/>
    </w:rPr>
  </w:style>
  <w:style w:type="paragraph" w:styleId="BalloonText">
    <w:name w:val="Balloon Text"/>
    <w:basedOn w:val="Normal"/>
    <w:link w:val="BalloonTextChar"/>
    <w:uiPriority w:val="99"/>
    <w:semiHidden/>
    <w:unhideWhenUsed/>
    <w:rsid w:val="008F7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nasfaa.org_Part-5F600-5FInstitutional-5FEligibility-23suba600243323&amp;d=DwMFAg&amp;c=bzqg8wBG-gmCffjjhiRy9RUbPhJ6AtQiizA-WVtoiSk&amp;r=UKb7rHJgZAgjuMNkUIwbHrr6sQ8nbBBL5YaU0GbkwE0&amp;m=IyV_5TUcgUbSr_2376KVNQicnDqV0_MsOpeHleRswNs&amp;s=xh8mkkO4ebqM2CUGCBpgRxWwNbR7pTI0gzSn7-PLT30&amp;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urldefense.proofpoint.com/v2/url?u=https-3A__www.nasfaa.org_Part-5F600-5FInstitutional-5FEligibility-23suba600243321&amp;d=DwMFAg&amp;c=bzqg8wBG-gmCffjjhiRy9RUbPhJ6AtQiizA-WVtoiSk&amp;r=UKb7rHJgZAgjuMNkUIwbHrr6sQ8nbBBL5YaU0GbkwE0&amp;m=IyV_5TUcgUbSr_2376KVNQicnDqV0_MsOpeHleRswNs&amp;s=LoEq0mb2nDWxYXRstNDuGbqcTb9L6aRJhJGtH-28s0o&am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nasfaa.org_Part-5F600-5FInstitutional-5FEligibility-23suba600243324&amp;d=DwMFAg&amp;c=bzqg8wBG-gmCffjjhiRy9RUbPhJ6AtQiizA-WVtoiSk&amp;r=UKb7rHJgZAgjuMNkUIwbHrr6sQ8nbBBL5YaU0GbkwE0&amp;m=IyV_5TUcgUbSr_2376KVNQicnDqV0_MsOpeHleRswNs&amp;s=T5bq6uXcmfgEQuvRuXhE0noZSDiz0p3YMf0HQH8iFIE&amp;e=" TargetMode="External"/><Relationship Id="rId11" Type="http://schemas.microsoft.com/office/2016/09/relationships/commentsIds" Target="commentsIds.xml"/><Relationship Id="rId5" Type="http://schemas.openxmlformats.org/officeDocument/2006/relationships/hyperlink" Target="https://urldefense.proofpoint.com/v2/url?u=https-3A__www.nasfaa.org_Part-5F600-5FInstitutional-5FEligibility-23suba600243321&amp;d=DwMFAg&amp;c=bzqg8wBG-gmCffjjhiRy9RUbPhJ6AtQiizA-WVtoiSk&amp;r=UKb7rHJgZAgjuMNkUIwbHrr6sQ8nbBBL5YaU0GbkwE0&amp;m=IyV_5TUcgUbSr_2376KVNQicnDqV0_MsOpeHleRswNs&amp;s=LoEq0mb2nDWxYXRstNDuGbqcTb9L6aRJhJGtH-28s0o&amp;e="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 Matthews</dc:creator>
  <cp:keywords/>
  <dc:description/>
  <cp:lastModifiedBy>Leah K. Matthews</cp:lastModifiedBy>
  <cp:revision>4</cp:revision>
  <cp:lastPrinted>2019-02-11T21:49:00Z</cp:lastPrinted>
  <dcterms:created xsi:type="dcterms:W3CDTF">2019-02-11T21:41:00Z</dcterms:created>
  <dcterms:modified xsi:type="dcterms:W3CDTF">2019-02-11T21:55:00Z</dcterms:modified>
</cp:coreProperties>
</file>